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4C185" w14:textId="70969D50" w:rsidR="00644300" w:rsidRPr="00CE5D36" w:rsidRDefault="00644300">
      <w:pPr>
        <w:rPr>
          <w:lang w:val="en-US"/>
        </w:rPr>
      </w:pPr>
      <w:r>
        <w:rPr>
          <w:lang w:val="en-US"/>
        </w:rPr>
        <w:t xml:space="preserve">Danone Case Study – Question 6: </w:t>
      </w:r>
    </w:p>
    <w:p w14:paraId="4952AD80" w14:textId="16681E07" w:rsidR="00383DF8" w:rsidRPr="00175F7E" w:rsidRDefault="00644300">
      <w:pPr>
        <w:rPr>
          <w:b/>
          <w:bCs/>
          <w:sz w:val="32"/>
          <w:szCs w:val="32"/>
          <w:lang w:val="en-US"/>
        </w:rPr>
      </w:pPr>
      <w:r w:rsidRPr="00175F7E">
        <w:rPr>
          <w:b/>
          <w:bCs/>
          <w:sz w:val="32"/>
          <w:szCs w:val="32"/>
          <w:lang w:val="en-US"/>
        </w:rPr>
        <w:t>If you were Laura Palmeiro, what would you decide and why?</w:t>
      </w:r>
    </w:p>
    <w:p w14:paraId="4257FDC8" w14:textId="77777777" w:rsidR="00644300" w:rsidRDefault="00644300">
      <w:pPr>
        <w:rPr>
          <w:b/>
          <w:bCs/>
          <w:lang w:val="en-US"/>
        </w:rPr>
      </w:pPr>
    </w:p>
    <w:p w14:paraId="26BB51A9" w14:textId="51930C21" w:rsidR="00644300" w:rsidRPr="00175F7E" w:rsidRDefault="00644300">
      <w:pPr>
        <w:rPr>
          <w:b/>
          <w:bCs/>
          <w:sz w:val="32"/>
          <w:szCs w:val="32"/>
          <w:lang w:val="en-US"/>
        </w:rPr>
      </w:pPr>
      <w:r w:rsidRPr="00175F7E">
        <w:rPr>
          <w:b/>
          <w:bCs/>
          <w:sz w:val="32"/>
          <w:szCs w:val="32"/>
          <w:lang w:val="en-US"/>
        </w:rPr>
        <w:t>Background:</w:t>
      </w:r>
    </w:p>
    <w:p w14:paraId="0C4464CD" w14:textId="77777777" w:rsidR="00586882" w:rsidRDefault="00586882" w:rsidP="00644300">
      <w:pPr>
        <w:pStyle w:val="ListParagraph"/>
        <w:numPr>
          <w:ilvl w:val="0"/>
          <w:numId w:val="1"/>
        </w:numPr>
        <w:rPr>
          <w:lang w:val="en-US"/>
        </w:rPr>
      </w:pPr>
      <w:r w:rsidRPr="00586882">
        <w:rPr>
          <w:lang w:val="en-US"/>
        </w:rPr>
        <w:t>After a €200m reorg</w:t>
      </w:r>
      <w:r>
        <w:rPr>
          <w:lang w:val="en-US"/>
        </w:rPr>
        <w:t>anization</w:t>
      </w:r>
      <w:r w:rsidRPr="00586882">
        <w:rPr>
          <w:lang w:val="en-US"/>
        </w:rPr>
        <w:t xml:space="preserve"> and ~900 management layoffs, Laura must choose:</w:t>
      </w:r>
    </w:p>
    <w:p w14:paraId="72D7370E" w14:textId="77777777" w:rsidR="00586882" w:rsidRPr="00586882" w:rsidRDefault="00586882" w:rsidP="00586882">
      <w:pPr>
        <w:pStyle w:val="ListParagraph"/>
        <w:numPr>
          <w:ilvl w:val="1"/>
          <w:numId w:val="1"/>
        </w:numPr>
        <w:rPr>
          <w:lang w:val="en-US"/>
        </w:rPr>
      </w:pPr>
      <w:r w:rsidRPr="00586882">
        <w:rPr>
          <w:lang w:val="en-US"/>
        </w:rPr>
        <w:t>adopt the IIRC’s &lt;IR&gt;</w:t>
      </w:r>
    </w:p>
    <w:p w14:paraId="5403A707" w14:textId="77777777" w:rsidR="00586882" w:rsidRPr="00586882" w:rsidRDefault="00586882" w:rsidP="00586882">
      <w:pPr>
        <w:pStyle w:val="ListParagraph"/>
        <w:numPr>
          <w:ilvl w:val="1"/>
          <w:numId w:val="1"/>
        </w:numPr>
        <w:rPr>
          <w:lang w:val="en-US"/>
        </w:rPr>
      </w:pPr>
      <w:r w:rsidRPr="00586882">
        <w:rPr>
          <w:lang w:val="en-US"/>
        </w:rPr>
        <w:t>revert to GRI-based CSR</w:t>
      </w:r>
    </w:p>
    <w:p w14:paraId="260456F5" w14:textId="1770D186" w:rsidR="00644300" w:rsidRDefault="00586882" w:rsidP="00586882">
      <w:pPr>
        <w:pStyle w:val="ListParagraph"/>
        <w:numPr>
          <w:ilvl w:val="1"/>
          <w:numId w:val="1"/>
        </w:numPr>
        <w:rPr>
          <w:lang w:val="en-US"/>
        </w:rPr>
      </w:pPr>
      <w:r w:rsidRPr="00586882">
        <w:rPr>
          <w:lang w:val="en-US"/>
        </w:rPr>
        <w:t>or publish Danone’s own integrated report developed since 2012</w:t>
      </w:r>
    </w:p>
    <w:p w14:paraId="69FAFF50" w14:textId="267BE6E7" w:rsidR="004B04D0" w:rsidRPr="00CE5D36" w:rsidRDefault="004B04D0" w:rsidP="00825E1E">
      <w:pPr>
        <w:pStyle w:val="ListParagraph"/>
        <w:numPr>
          <w:ilvl w:val="0"/>
          <w:numId w:val="1"/>
        </w:numPr>
        <w:rPr>
          <w:lang w:val="en-US"/>
        </w:rPr>
      </w:pPr>
      <w:r w:rsidRPr="004B04D0">
        <w:rPr>
          <w:lang w:val="en-US"/>
        </w:rPr>
        <w:t>A dual social–economic mission (HOPE values) is operationalized through the Danone Way scorecard (16 areas; star rating) and long-standing GRI reporting.</w:t>
      </w:r>
    </w:p>
    <w:p w14:paraId="2BCA2E26" w14:textId="77777777" w:rsidR="00644300" w:rsidRDefault="00644300" w:rsidP="00644300">
      <w:pPr>
        <w:rPr>
          <w:lang w:val="en-US"/>
        </w:rPr>
      </w:pPr>
    </w:p>
    <w:p w14:paraId="53866C65" w14:textId="0B730C4E" w:rsidR="00644300" w:rsidRPr="00175F7E" w:rsidRDefault="00C74FF6" w:rsidP="00644300">
      <w:pPr>
        <w:rPr>
          <w:b/>
          <w:bCs/>
          <w:sz w:val="32"/>
          <w:szCs w:val="32"/>
          <w:lang w:val="en-US"/>
        </w:rPr>
      </w:pPr>
      <w:r w:rsidRPr="00175F7E">
        <w:rPr>
          <w:b/>
          <w:bCs/>
          <w:sz w:val="32"/>
          <w:szCs w:val="32"/>
          <w:lang w:val="en-US"/>
        </w:rPr>
        <w:t>Possible Options:</w:t>
      </w:r>
    </w:p>
    <w:p w14:paraId="4E293CDE" w14:textId="2EEB5E47" w:rsidR="00561A92" w:rsidRPr="00561A92" w:rsidRDefault="00561A92" w:rsidP="00561A92">
      <w:pPr>
        <w:pStyle w:val="ListParagraph"/>
        <w:numPr>
          <w:ilvl w:val="0"/>
          <w:numId w:val="1"/>
        </w:numPr>
      </w:pPr>
      <w:proofErr w:type="spellStart"/>
      <w:r w:rsidRPr="00561A92">
        <w:rPr>
          <w:b/>
          <w:bCs/>
        </w:rPr>
        <w:t>Adopt</w:t>
      </w:r>
      <w:proofErr w:type="spellEnd"/>
      <w:r w:rsidRPr="00561A92">
        <w:rPr>
          <w:b/>
          <w:bCs/>
        </w:rPr>
        <w:t xml:space="preserve"> &lt;IR&gt; </w:t>
      </w:r>
      <w:proofErr w:type="spellStart"/>
      <w:r w:rsidRPr="00561A92">
        <w:rPr>
          <w:b/>
          <w:bCs/>
        </w:rPr>
        <w:t>immediately</w:t>
      </w:r>
      <w:proofErr w:type="spellEnd"/>
    </w:p>
    <w:p w14:paraId="701663D7" w14:textId="77777777" w:rsidR="00561A92" w:rsidRDefault="00561A92" w:rsidP="00561A92">
      <w:pPr>
        <w:pStyle w:val="ListParagraph"/>
        <w:numPr>
          <w:ilvl w:val="1"/>
          <w:numId w:val="1"/>
        </w:numPr>
        <w:rPr>
          <w:lang w:val="en-US"/>
        </w:rPr>
      </w:pPr>
      <w:r w:rsidRPr="00561A92">
        <w:rPr>
          <w:i/>
          <w:iCs/>
          <w:lang w:val="en-US"/>
        </w:rPr>
        <w:t>Pros:</w:t>
      </w:r>
      <w:r w:rsidRPr="00561A92">
        <w:rPr>
          <w:lang w:val="en-US"/>
        </w:rPr>
        <w:t xml:space="preserve"> Signaling to investors; </w:t>
      </w:r>
      <w:proofErr w:type="gramStart"/>
      <w:r w:rsidRPr="00561A92">
        <w:rPr>
          <w:lang w:val="en-US"/>
        </w:rPr>
        <w:t>future-proofing</w:t>
      </w:r>
      <w:proofErr w:type="gramEnd"/>
      <w:r w:rsidRPr="00561A92">
        <w:rPr>
          <w:lang w:val="en-US"/>
        </w:rPr>
        <w:t xml:space="preserve"> if &lt;IR&gt; wins out. </w:t>
      </w:r>
    </w:p>
    <w:p w14:paraId="4A98B0D5" w14:textId="055D8726" w:rsidR="00561A92" w:rsidRPr="00561A92" w:rsidRDefault="00561A92" w:rsidP="00561A92">
      <w:pPr>
        <w:pStyle w:val="ListParagraph"/>
        <w:numPr>
          <w:ilvl w:val="1"/>
          <w:numId w:val="1"/>
        </w:numPr>
        <w:rPr>
          <w:lang w:val="en-US"/>
        </w:rPr>
      </w:pPr>
      <w:r w:rsidRPr="00561A92">
        <w:rPr>
          <w:i/>
          <w:iCs/>
          <w:lang w:val="en-US"/>
        </w:rPr>
        <w:t>Cons:</w:t>
      </w:r>
      <w:r w:rsidRPr="00561A92">
        <w:rPr>
          <w:lang w:val="en-US"/>
        </w:rPr>
        <w:t xml:space="preserve"> Framework not final (Dec 2013); investor-first materiality clashes with Danone’s stakeholder model; risk of “financialization” of social/environmental programs; internal pushback; transition cost amid layoffs. </w:t>
      </w:r>
    </w:p>
    <w:p w14:paraId="6BBCCADE" w14:textId="78437A13" w:rsidR="00561A92" w:rsidRPr="00561A92" w:rsidRDefault="00561A92" w:rsidP="00561A92">
      <w:pPr>
        <w:pStyle w:val="ListParagraph"/>
        <w:numPr>
          <w:ilvl w:val="0"/>
          <w:numId w:val="1"/>
        </w:numPr>
        <w:rPr>
          <w:lang w:val="en-US"/>
        </w:rPr>
      </w:pPr>
      <w:r w:rsidRPr="00561A92">
        <w:rPr>
          <w:b/>
          <w:bCs/>
          <w:lang w:val="en-US"/>
        </w:rPr>
        <w:t>Revert to “classic” GRI CSR</w:t>
      </w:r>
    </w:p>
    <w:p w14:paraId="524DFF64" w14:textId="77777777" w:rsidR="008A4907" w:rsidRDefault="00561A92" w:rsidP="008A4907">
      <w:pPr>
        <w:pStyle w:val="ListParagraph"/>
        <w:numPr>
          <w:ilvl w:val="1"/>
          <w:numId w:val="1"/>
        </w:numPr>
        <w:rPr>
          <w:lang w:val="en-US"/>
        </w:rPr>
      </w:pPr>
      <w:r w:rsidRPr="00561A92">
        <w:rPr>
          <w:i/>
          <w:iCs/>
          <w:lang w:val="en-US"/>
        </w:rPr>
        <w:t>Pros:</w:t>
      </w:r>
      <w:r w:rsidRPr="00561A92">
        <w:rPr>
          <w:lang w:val="en-US"/>
        </w:rPr>
        <w:t xml:space="preserve"> Low execution risk; comparability; widely adopted. </w:t>
      </w:r>
    </w:p>
    <w:p w14:paraId="647AFBED" w14:textId="536E876B" w:rsidR="00561A92" w:rsidRPr="008A4907" w:rsidRDefault="00561A92" w:rsidP="008A4907">
      <w:pPr>
        <w:pStyle w:val="ListParagraph"/>
        <w:numPr>
          <w:ilvl w:val="1"/>
          <w:numId w:val="1"/>
        </w:numPr>
        <w:rPr>
          <w:lang w:val="en-US"/>
        </w:rPr>
      </w:pPr>
      <w:r w:rsidRPr="008A4907">
        <w:rPr>
          <w:i/>
          <w:iCs/>
          <w:lang w:val="en-US"/>
        </w:rPr>
        <w:t>Cons:</w:t>
      </w:r>
      <w:r w:rsidRPr="008A4907">
        <w:rPr>
          <w:lang w:val="en-US"/>
        </w:rPr>
        <w:t xml:space="preserve"> Loses the integrative narrative leadership Laura has built; weaker linkage to value creation and capital allocation questions investors care about. </w:t>
      </w:r>
    </w:p>
    <w:p w14:paraId="1E85BAD5" w14:textId="78A399EE" w:rsidR="00561A92" w:rsidRPr="00561A92" w:rsidRDefault="00561A92" w:rsidP="00561A92">
      <w:pPr>
        <w:pStyle w:val="ListParagraph"/>
        <w:numPr>
          <w:ilvl w:val="0"/>
          <w:numId w:val="1"/>
        </w:numPr>
        <w:rPr>
          <w:lang w:val="en-US"/>
        </w:rPr>
      </w:pPr>
      <w:r w:rsidRPr="00561A92">
        <w:rPr>
          <w:b/>
          <w:bCs/>
          <w:lang w:val="en-US"/>
        </w:rPr>
        <w:t>Publish Danone’s own integrated report (shadow), mapped to IIRC</w:t>
      </w:r>
    </w:p>
    <w:p w14:paraId="0B5D2CBD" w14:textId="77777777" w:rsidR="00561A92" w:rsidRPr="00561A92" w:rsidRDefault="00561A92" w:rsidP="008A4907">
      <w:pPr>
        <w:pStyle w:val="ListParagraph"/>
        <w:numPr>
          <w:ilvl w:val="1"/>
          <w:numId w:val="1"/>
        </w:numPr>
        <w:rPr>
          <w:lang w:val="en-US"/>
        </w:rPr>
      </w:pPr>
      <w:r w:rsidRPr="00561A92">
        <w:rPr>
          <w:i/>
          <w:iCs/>
          <w:lang w:val="en-US"/>
        </w:rPr>
        <w:t>Pros:</w:t>
      </w:r>
      <w:r w:rsidRPr="00561A92">
        <w:rPr>
          <w:lang w:val="en-US"/>
        </w:rPr>
        <w:t xml:space="preserve"> Protects Danone’s dual mission and stakeholder breadth; shows “integrated thinking” on our terms; lets us test an &lt;IR&gt;-compatible structure without v1.0 lock-in; contains costs; preserves investor relevance via a mapping to the six capitals and value-creation narrative. </w:t>
      </w:r>
    </w:p>
    <w:p w14:paraId="30460CBA" w14:textId="77777777" w:rsidR="00561A92" w:rsidRPr="00561A92" w:rsidRDefault="00561A92" w:rsidP="008A4907">
      <w:pPr>
        <w:pStyle w:val="ListParagraph"/>
        <w:numPr>
          <w:ilvl w:val="1"/>
          <w:numId w:val="1"/>
        </w:numPr>
        <w:rPr>
          <w:lang w:val="en-US"/>
        </w:rPr>
      </w:pPr>
      <w:r w:rsidRPr="00561A92">
        <w:rPr>
          <w:i/>
          <w:iCs/>
          <w:lang w:val="en-US"/>
        </w:rPr>
        <w:t>Cons:</w:t>
      </w:r>
      <w:r w:rsidRPr="00561A92">
        <w:rPr>
          <w:lang w:val="en-US"/>
        </w:rPr>
        <w:t xml:space="preserve"> Some investors may still prefer official &lt;IR&gt;; requires careful </w:t>
      </w:r>
      <w:proofErr w:type="gramStart"/>
      <w:r w:rsidRPr="00561A92">
        <w:rPr>
          <w:lang w:val="en-US"/>
        </w:rPr>
        <w:t>cross-walk</w:t>
      </w:r>
      <w:proofErr w:type="gramEnd"/>
      <w:r w:rsidRPr="00561A92">
        <w:rPr>
          <w:lang w:val="en-US"/>
        </w:rPr>
        <w:t xml:space="preserve"> to avoid accusations of cherry-picking.</w:t>
      </w:r>
    </w:p>
    <w:p w14:paraId="7A72DEF8" w14:textId="77777777" w:rsidR="00175F7E" w:rsidRDefault="00175F7E" w:rsidP="00C74FF6">
      <w:pPr>
        <w:rPr>
          <w:lang w:val="en-US"/>
        </w:rPr>
      </w:pPr>
    </w:p>
    <w:p w14:paraId="058EFDF4" w14:textId="04197477" w:rsidR="00C74FF6" w:rsidRPr="00175F7E" w:rsidRDefault="73444E68" w:rsidP="00C74FF6">
      <w:pPr>
        <w:rPr>
          <w:b/>
          <w:bCs/>
          <w:sz w:val="32"/>
          <w:szCs w:val="32"/>
          <w:lang w:val="en-US"/>
        </w:rPr>
      </w:pPr>
      <w:r w:rsidRPr="73444E68">
        <w:rPr>
          <w:b/>
          <w:bCs/>
          <w:sz w:val="32"/>
          <w:szCs w:val="32"/>
          <w:lang w:val="en-US"/>
        </w:rPr>
        <w:t xml:space="preserve">Our Decision: </w:t>
      </w:r>
    </w:p>
    <w:p w14:paraId="2A9E2526" w14:textId="5998C66E" w:rsidR="00C74FF6" w:rsidRPr="00825E1E" w:rsidRDefault="73444E68" w:rsidP="73444E68">
      <w:pPr>
        <w:rPr>
          <w:lang w:val="en-US"/>
        </w:rPr>
      </w:pPr>
      <w:r w:rsidRPr="73444E68">
        <w:rPr>
          <w:rFonts w:ascii="Aptos" w:eastAsia="Aptos" w:hAnsi="Aptos" w:cs="Aptos"/>
          <w:lang w:val="en-US"/>
        </w:rPr>
        <w:t xml:space="preserve">We recommend that Danone publish its own integrated report in 2013, grounded in the company’s dual social–economic mission, while retaining GRI for the detailed disclosures and adding a concise one-page </w:t>
      </w:r>
      <w:proofErr w:type="gramStart"/>
      <w:r w:rsidRPr="73444E68">
        <w:rPr>
          <w:rFonts w:ascii="Aptos" w:eastAsia="Aptos" w:hAnsi="Aptos" w:cs="Aptos"/>
          <w:lang w:val="en-US"/>
        </w:rPr>
        <w:t>cross-walk</w:t>
      </w:r>
      <w:proofErr w:type="gramEnd"/>
      <w:r w:rsidRPr="73444E68">
        <w:rPr>
          <w:rFonts w:ascii="Aptos" w:eastAsia="Aptos" w:hAnsi="Aptos" w:cs="Aptos"/>
          <w:lang w:val="en-US"/>
        </w:rPr>
        <w:t xml:space="preserve"> to the IIRC Integrated Reporting (&lt;IR&gt;) concepts. This approach best fits Danone’s multi-stakeholder identity without forcing a purely investor-centric lens. It also preserves credibility and comparability, since GRI remains the recognized backbone and key metrics (e.g., carbon) continue to follow established methodologies. Practically, it keeps execution risk and cost low in a year of restructuring, yet still delivers what investors need: a clear value-creation narrative and an easy mapping to the six capitals.</w:t>
      </w:r>
    </w:p>
    <w:sectPr w:rsidR="00C74FF6" w:rsidRPr="00825E1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23A02"/>
    <w:multiLevelType w:val="multilevel"/>
    <w:tmpl w:val="56349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525A0D"/>
    <w:multiLevelType w:val="multilevel"/>
    <w:tmpl w:val="BE009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1B704D"/>
    <w:multiLevelType w:val="hybridMultilevel"/>
    <w:tmpl w:val="6798B6E4"/>
    <w:lvl w:ilvl="0" w:tplc="C73A7308">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F096CF0"/>
    <w:multiLevelType w:val="hybridMultilevel"/>
    <w:tmpl w:val="B050867C"/>
    <w:lvl w:ilvl="0" w:tplc="A6BC2152">
      <w:numFmt w:val="bullet"/>
      <w:lvlText w:val="-"/>
      <w:lvlJc w:val="left"/>
      <w:pPr>
        <w:ind w:left="720" w:hanging="360"/>
      </w:pPr>
      <w:rPr>
        <w:rFonts w:ascii="Aptos" w:eastAsiaTheme="minorHAnsi" w:hAnsi="Aptos"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E8A4A59"/>
    <w:multiLevelType w:val="multilevel"/>
    <w:tmpl w:val="D62E4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9303762">
    <w:abstractNumId w:val="3"/>
  </w:num>
  <w:num w:numId="2" w16cid:durableId="1489830332">
    <w:abstractNumId w:val="0"/>
  </w:num>
  <w:num w:numId="3" w16cid:durableId="1902249905">
    <w:abstractNumId w:val="1"/>
  </w:num>
  <w:num w:numId="4" w16cid:durableId="1945114040">
    <w:abstractNumId w:val="2"/>
  </w:num>
  <w:num w:numId="5" w16cid:durableId="4639329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5B4"/>
    <w:rsid w:val="001538AB"/>
    <w:rsid w:val="00175F7E"/>
    <w:rsid w:val="001D27A5"/>
    <w:rsid w:val="001D5A89"/>
    <w:rsid w:val="00260787"/>
    <w:rsid w:val="00294C1B"/>
    <w:rsid w:val="00383DF8"/>
    <w:rsid w:val="004B04D0"/>
    <w:rsid w:val="00561A92"/>
    <w:rsid w:val="00586882"/>
    <w:rsid w:val="005A08DD"/>
    <w:rsid w:val="005E69F8"/>
    <w:rsid w:val="00644300"/>
    <w:rsid w:val="00724778"/>
    <w:rsid w:val="00732B01"/>
    <w:rsid w:val="00825E1E"/>
    <w:rsid w:val="008A4907"/>
    <w:rsid w:val="00BF7912"/>
    <w:rsid w:val="00C11579"/>
    <w:rsid w:val="00C74FF6"/>
    <w:rsid w:val="00CD10A8"/>
    <w:rsid w:val="00CE5D36"/>
    <w:rsid w:val="00D264F7"/>
    <w:rsid w:val="00D665B4"/>
    <w:rsid w:val="00F60E2C"/>
    <w:rsid w:val="00FB5CCC"/>
    <w:rsid w:val="049D7788"/>
    <w:rsid w:val="196970DF"/>
    <w:rsid w:val="24582423"/>
    <w:rsid w:val="3451A575"/>
    <w:rsid w:val="37AC5B43"/>
    <w:rsid w:val="3A190937"/>
    <w:rsid w:val="60AC4ED2"/>
    <w:rsid w:val="655AFB6D"/>
    <w:rsid w:val="73444E68"/>
    <w:rsid w:val="74AD58E1"/>
    <w:rsid w:val="7D9007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73787"/>
  <w15:chartTrackingRefBased/>
  <w15:docId w15:val="{D0649FDC-2507-4986-A578-1A0686F9E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65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65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65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65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65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65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65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65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65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65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65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65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65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65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65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65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65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65B4"/>
    <w:rPr>
      <w:rFonts w:eastAsiaTheme="majorEastAsia" w:cstheme="majorBidi"/>
      <w:color w:val="272727" w:themeColor="text1" w:themeTint="D8"/>
    </w:rPr>
  </w:style>
  <w:style w:type="paragraph" w:styleId="Title">
    <w:name w:val="Title"/>
    <w:basedOn w:val="Normal"/>
    <w:next w:val="Normal"/>
    <w:link w:val="TitleChar"/>
    <w:uiPriority w:val="10"/>
    <w:qFormat/>
    <w:rsid w:val="00D665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65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65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65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65B4"/>
    <w:pPr>
      <w:spacing w:before="160"/>
      <w:jc w:val="center"/>
    </w:pPr>
    <w:rPr>
      <w:i/>
      <w:iCs/>
      <w:color w:val="404040" w:themeColor="text1" w:themeTint="BF"/>
    </w:rPr>
  </w:style>
  <w:style w:type="character" w:customStyle="1" w:styleId="QuoteChar">
    <w:name w:val="Quote Char"/>
    <w:basedOn w:val="DefaultParagraphFont"/>
    <w:link w:val="Quote"/>
    <w:uiPriority w:val="29"/>
    <w:rsid w:val="00D665B4"/>
    <w:rPr>
      <w:i/>
      <w:iCs/>
      <w:color w:val="404040" w:themeColor="text1" w:themeTint="BF"/>
    </w:rPr>
  </w:style>
  <w:style w:type="paragraph" w:styleId="ListParagraph">
    <w:name w:val="List Paragraph"/>
    <w:basedOn w:val="Normal"/>
    <w:uiPriority w:val="34"/>
    <w:qFormat/>
    <w:rsid w:val="00D665B4"/>
    <w:pPr>
      <w:ind w:left="720"/>
      <w:contextualSpacing/>
    </w:pPr>
  </w:style>
  <w:style w:type="character" w:styleId="IntenseEmphasis">
    <w:name w:val="Intense Emphasis"/>
    <w:basedOn w:val="DefaultParagraphFont"/>
    <w:uiPriority w:val="21"/>
    <w:qFormat/>
    <w:rsid w:val="00D665B4"/>
    <w:rPr>
      <w:i/>
      <w:iCs/>
      <w:color w:val="0F4761" w:themeColor="accent1" w:themeShade="BF"/>
    </w:rPr>
  </w:style>
  <w:style w:type="paragraph" w:styleId="IntenseQuote">
    <w:name w:val="Intense Quote"/>
    <w:basedOn w:val="Normal"/>
    <w:next w:val="Normal"/>
    <w:link w:val="IntenseQuoteChar"/>
    <w:uiPriority w:val="30"/>
    <w:qFormat/>
    <w:rsid w:val="00D665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65B4"/>
    <w:rPr>
      <w:i/>
      <w:iCs/>
      <w:color w:val="0F4761" w:themeColor="accent1" w:themeShade="BF"/>
    </w:rPr>
  </w:style>
  <w:style w:type="character" w:styleId="IntenseReference">
    <w:name w:val="Intense Reference"/>
    <w:basedOn w:val="DefaultParagraphFont"/>
    <w:uiPriority w:val="32"/>
    <w:qFormat/>
    <w:rsid w:val="00D665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Words>
  <Characters>1890</Characters>
  <Application>Microsoft Office Word</Application>
  <DocSecurity>4</DocSecurity>
  <Lines>15</Lines>
  <Paragraphs>4</Paragraphs>
  <ScaleCrop>false</ScaleCrop>
  <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Thies Castagne</dc:creator>
  <cp:keywords/>
  <dc:description/>
  <cp:lastModifiedBy>Gastbenutzer</cp:lastModifiedBy>
  <cp:revision>11</cp:revision>
  <dcterms:created xsi:type="dcterms:W3CDTF">2025-10-22T22:05:00Z</dcterms:created>
  <dcterms:modified xsi:type="dcterms:W3CDTF">2025-10-29T13:38:00Z</dcterms:modified>
</cp:coreProperties>
</file>