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8" w:rsidRDefault="00462848" w:rsidP="00462848">
      <w:pPr>
        <w:jc w:val="center"/>
        <w:rPr>
          <w:lang w:val="en-US"/>
        </w:rPr>
      </w:pPr>
      <w:r w:rsidRPr="006241DF">
        <w:rPr>
          <w:rFonts w:ascii="Times New Roman" w:hAnsi="Times New Roman"/>
          <w:b/>
          <w:noProof/>
          <w:lang w:eastAsia="pt-PT"/>
        </w:rPr>
        <w:drawing>
          <wp:inline distT="0" distB="0" distL="0" distR="0" wp14:anchorId="10D93156" wp14:editId="774668BC">
            <wp:extent cx="1524000" cy="657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b="4167"/>
                    <a:stretch/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029" w:rsidRDefault="004B6029" w:rsidP="004B6029">
      <w:pPr>
        <w:pStyle w:val="Default"/>
        <w:jc w:val="center"/>
        <w:rPr>
          <w:b/>
          <w:sz w:val="28"/>
          <w:szCs w:val="28"/>
          <w:lang w:val="en-US"/>
        </w:rPr>
      </w:pPr>
    </w:p>
    <w:p w:rsidR="004B6029" w:rsidRDefault="004B6029" w:rsidP="004B6029">
      <w:pPr>
        <w:pStyle w:val="Default"/>
        <w:jc w:val="center"/>
        <w:rPr>
          <w:b/>
          <w:sz w:val="28"/>
          <w:szCs w:val="28"/>
          <w:lang w:val="en-US"/>
        </w:rPr>
      </w:pPr>
    </w:p>
    <w:p w:rsidR="004B6029" w:rsidRPr="003E3AA5" w:rsidRDefault="004B6029" w:rsidP="004B6029">
      <w:pPr>
        <w:pStyle w:val="Default"/>
        <w:jc w:val="center"/>
        <w:rPr>
          <w:b/>
          <w:sz w:val="28"/>
          <w:szCs w:val="28"/>
          <w:lang w:val="en-US"/>
        </w:rPr>
      </w:pPr>
      <w:r w:rsidRPr="003E3AA5">
        <w:rPr>
          <w:b/>
          <w:sz w:val="28"/>
          <w:szCs w:val="28"/>
          <w:lang w:val="en-US"/>
        </w:rPr>
        <w:t xml:space="preserve">Master in </w:t>
      </w:r>
      <w:r>
        <w:rPr>
          <w:b/>
          <w:sz w:val="28"/>
          <w:szCs w:val="28"/>
          <w:lang w:val="en-US"/>
        </w:rPr>
        <w:t>Monetary and Financial Economics</w:t>
      </w:r>
    </w:p>
    <w:p w:rsidR="004B6029" w:rsidRPr="008239BD" w:rsidRDefault="004B6029" w:rsidP="004B6029">
      <w:pPr>
        <w:pStyle w:val="Default"/>
        <w:jc w:val="center"/>
        <w:rPr>
          <w:b/>
          <w:lang w:val="en-US"/>
        </w:rPr>
      </w:pPr>
    </w:p>
    <w:p w:rsidR="004B6029" w:rsidRPr="004B6029" w:rsidRDefault="004B6029" w:rsidP="004B6029">
      <w:pPr>
        <w:pStyle w:val="Default"/>
        <w:jc w:val="center"/>
        <w:rPr>
          <w:b/>
          <w:lang w:val="en-US"/>
        </w:rPr>
      </w:pPr>
      <w:r w:rsidRPr="008239BD">
        <w:rPr>
          <w:b/>
          <w:lang w:val="en-US"/>
        </w:rPr>
        <w:t>Banking an</w:t>
      </w:r>
      <w:r w:rsidRPr="004B6029">
        <w:rPr>
          <w:b/>
          <w:lang w:val="en-US"/>
        </w:rPr>
        <w:t>d Insurance</w:t>
      </w:r>
    </w:p>
    <w:p w:rsidR="004B6029" w:rsidRPr="004B6029" w:rsidRDefault="004B6029" w:rsidP="004B6029">
      <w:pPr>
        <w:pStyle w:val="Default"/>
        <w:jc w:val="center"/>
        <w:rPr>
          <w:b/>
          <w:lang w:val="en-US"/>
        </w:rPr>
      </w:pPr>
    </w:p>
    <w:p w:rsidR="004B6029" w:rsidRPr="004B6029" w:rsidRDefault="004B6029" w:rsidP="004B60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 – </w:t>
      </w:r>
      <w:r w:rsidR="00637D5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B6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7D59">
        <w:rPr>
          <w:rFonts w:ascii="Times New Roman" w:hAnsi="Times New Roman" w:cs="Times New Roman"/>
          <w:b/>
          <w:sz w:val="24"/>
          <w:szCs w:val="24"/>
          <w:lang w:val="en-US"/>
        </w:rPr>
        <w:t>Febru</w:t>
      </w:r>
      <w:r w:rsidR="00B44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ary </w:t>
      </w:r>
      <w:r w:rsidRPr="004B602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443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8F282B" w:rsidRDefault="008F282B" w:rsidP="008F282B">
      <w:pPr>
        <w:rPr>
          <w:lang w:val="en-US"/>
        </w:rPr>
      </w:pPr>
    </w:p>
    <w:p w:rsidR="00217567" w:rsidRDefault="00217567" w:rsidP="005B372C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Explain </w:t>
      </w:r>
      <w:r w:rsidR="001B4151" w:rsidRPr="001B4151">
        <w:rPr>
          <w:lang w:val="en-US"/>
        </w:rPr>
        <w:t xml:space="preserve">the </w:t>
      </w:r>
      <w:r w:rsidR="001700DA">
        <w:rPr>
          <w:lang w:val="en-US"/>
        </w:rPr>
        <w:t xml:space="preserve">impact </w:t>
      </w:r>
      <w:r w:rsidR="001B4151" w:rsidRPr="001B4151">
        <w:rPr>
          <w:lang w:val="en-US"/>
        </w:rPr>
        <w:t xml:space="preserve">of credit risk </w:t>
      </w:r>
      <w:r w:rsidR="001700DA">
        <w:rPr>
          <w:lang w:val="en-US"/>
        </w:rPr>
        <w:t>on</w:t>
      </w:r>
      <w:r w:rsidR="00AA3786">
        <w:rPr>
          <w:lang w:val="en-US"/>
        </w:rPr>
        <w:t xml:space="preserve"> banks’</w:t>
      </w:r>
      <w:r>
        <w:rPr>
          <w:lang w:val="en-US"/>
        </w:rPr>
        <w:t>:</w:t>
      </w:r>
    </w:p>
    <w:p w:rsidR="00217567" w:rsidRDefault="001B4151" w:rsidP="00217567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1B4151">
        <w:rPr>
          <w:lang w:val="en-US"/>
        </w:rPr>
        <w:t>loan pricing</w:t>
      </w:r>
      <w:r w:rsidR="00AA3786">
        <w:rPr>
          <w:lang w:val="en-US"/>
        </w:rPr>
        <w:t xml:space="preserve"> </w:t>
      </w:r>
    </w:p>
    <w:p w:rsidR="00F81116" w:rsidRDefault="00F81116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risk-adjusted spreads</w:t>
      </w:r>
    </w:p>
    <w:p w:rsidR="00217567" w:rsidRDefault="00217567" w:rsidP="00217567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capital requirements</w:t>
      </w:r>
    </w:p>
    <w:p w:rsidR="00F81116" w:rsidRDefault="00F81116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IRB and standard approach</w:t>
      </w:r>
    </w:p>
    <w:p w:rsidR="00F22C4B" w:rsidRDefault="00F22C4B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NPL=&gt; higher capital requirements</w:t>
      </w:r>
    </w:p>
    <w:p w:rsidR="00217567" w:rsidRDefault="00217567" w:rsidP="00217567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17567">
        <w:rPr>
          <w:lang w:val="en-US"/>
        </w:rPr>
        <w:t>net income</w:t>
      </w:r>
      <w:r w:rsidR="00AA3786">
        <w:rPr>
          <w:lang w:val="en-US"/>
        </w:rPr>
        <w:t xml:space="preserve"> </w:t>
      </w:r>
    </w:p>
    <w:p w:rsidR="00F81116" w:rsidRDefault="00F81116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impairments, via stage 2 and 3</w:t>
      </w:r>
    </w:p>
    <w:p w:rsidR="001700DA" w:rsidRDefault="001700DA" w:rsidP="00217567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profitability</w:t>
      </w:r>
    </w:p>
    <w:p w:rsidR="00F81116" w:rsidRDefault="00F81116" w:rsidP="00F22C4B">
      <w:pPr>
        <w:pStyle w:val="ListParagraph"/>
        <w:ind w:left="1510"/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NI/ROE or NI/ROA</w:t>
      </w:r>
    </w:p>
    <w:p w:rsidR="00F871EF" w:rsidRDefault="00F871EF" w:rsidP="00F22C4B">
      <w:pPr>
        <w:pStyle w:val="ListParagraph"/>
        <w:ind w:left="1510"/>
        <w:jc w:val="both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  <w:t>RAROC</w:t>
      </w:r>
    </w:p>
    <w:p w:rsidR="00F871EF" w:rsidRDefault="00F871EF" w:rsidP="00F22C4B">
      <w:pPr>
        <w:pStyle w:val="ListParagraph"/>
        <w:ind w:left="1510"/>
        <w:jc w:val="both"/>
        <w:rPr>
          <w:lang w:val="en-US"/>
        </w:rPr>
      </w:pPr>
    </w:p>
    <w:p w:rsidR="001700DA" w:rsidRDefault="001700DA" w:rsidP="00217567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asset quality indicators</w:t>
      </w:r>
    </w:p>
    <w:p w:rsidR="00F81116" w:rsidRPr="00217567" w:rsidRDefault="00F81116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NPEs, including forborne loans</w:t>
      </w:r>
    </w:p>
    <w:p w:rsidR="005B372C" w:rsidRPr="00217567" w:rsidRDefault="001B4151" w:rsidP="00217567">
      <w:pPr>
        <w:pStyle w:val="ListParagraph"/>
        <w:ind w:left="790"/>
        <w:jc w:val="both"/>
        <w:rPr>
          <w:lang w:val="en-US"/>
        </w:rPr>
      </w:pPr>
      <w:r w:rsidRPr="00217567">
        <w:rPr>
          <w:lang w:val="en-US"/>
        </w:rPr>
        <w:t>(</w:t>
      </w:r>
      <w:r w:rsidR="006864A2">
        <w:rPr>
          <w:lang w:val="en-US"/>
        </w:rPr>
        <w:t>6</w:t>
      </w:r>
      <w:r w:rsidR="00217567" w:rsidRPr="00217567">
        <w:rPr>
          <w:lang w:val="en-US"/>
        </w:rPr>
        <w:t>,0</w:t>
      </w:r>
      <w:r w:rsidRPr="00217567">
        <w:rPr>
          <w:lang w:val="en-US"/>
        </w:rPr>
        <w:t>)</w:t>
      </w:r>
    </w:p>
    <w:p w:rsidR="005B372C" w:rsidRDefault="005B372C" w:rsidP="005B372C">
      <w:pPr>
        <w:pStyle w:val="ListParagraph"/>
        <w:ind w:left="790"/>
        <w:jc w:val="both"/>
        <w:rPr>
          <w:lang w:val="en-US"/>
        </w:rPr>
      </w:pPr>
    </w:p>
    <w:p w:rsidR="006864A2" w:rsidRDefault="006864A2" w:rsidP="006864A2">
      <w:pPr>
        <w:pStyle w:val="ListParagraph"/>
        <w:spacing w:after="200" w:line="276" w:lineRule="auto"/>
        <w:ind w:left="790"/>
        <w:jc w:val="both"/>
        <w:rPr>
          <w:rFonts w:cstheme="minorHAnsi"/>
          <w:lang w:val="en-US"/>
        </w:rPr>
      </w:pPr>
    </w:p>
    <w:p w:rsidR="006864A2" w:rsidRDefault="006864A2" w:rsidP="004906A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Describe the impact on a bank’s risks of a decision to offer 30-year fixed rate residential mortgage loans and the measures that should be put in place to mitigate those risks. (4,0)</w:t>
      </w:r>
    </w:p>
    <w:p w:rsidR="004906A6" w:rsidRDefault="004906A6" w:rsidP="004906A6">
      <w:pPr>
        <w:pStyle w:val="ListParagraph"/>
        <w:ind w:left="790"/>
        <w:jc w:val="both"/>
        <w:rPr>
          <w:lang w:val="en-US"/>
        </w:rPr>
      </w:pPr>
    </w:p>
    <w:p w:rsidR="00F81116" w:rsidRDefault="00F81116" w:rsidP="00F81116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- credit risk: 30y loan involves higher PD =&gt; careful assessment of the borrower’s credit risk and lower limits on LTV and DTI</w:t>
      </w:r>
    </w:p>
    <w:p w:rsidR="00F81116" w:rsidRDefault="00F81116" w:rsidP="00F81116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- interest rate risk: may help to mitigate the usual positive interest rate gaps =&gt; may be used as a strategy to mitigate the exposure to interest rate fluctuations</w:t>
      </w:r>
    </w:p>
    <w:p w:rsidR="00F81116" w:rsidRDefault="00F81116" w:rsidP="00F81116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- liquidity risk: increased by very long-term loans =&gt; the bank has to ensure large and stable liquidity buffers, e.g. via a sound reputation among depositors, as well as to increase the average maturity of liabilities and/or decrease the average maturity of other assets.</w:t>
      </w:r>
    </w:p>
    <w:p w:rsidR="00F81116" w:rsidRDefault="00F81116" w:rsidP="00F81116">
      <w:pPr>
        <w:pStyle w:val="ListParagraph"/>
        <w:ind w:left="790"/>
        <w:jc w:val="both"/>
        <w:rPr>
          <w:lang w:val="en-US"/>
        </w:rPr>
      </w:pPr>
    </w:p>
    <w:p w:rsidR="00BD0D51" w:rsidRDefault="00BD0D51" w:rsidP="00F81116">
      <w:pPr>
        <w:pStyle w:val="ListParagraph"/>
        <w:ind w:left="790"/>
        <w:jc w:val="both"/>
        <w:rPr>
          <w:lang w:val="en-US"/>
        </w:rPr>
      </w:pPr>
    </w:p>
    <w:p w:rsidR="00BD0D51" w:rsidRDefault="00BD0D51" w:rsidP="00F81116">
      <w:pPr>
        <w:pStyle w:val="ListParagraph"/>
        <w:ind w:left="790"/>
        <w:jc w:val="both"/>
        <w:rPr>
          <w:lang w:val="en-US"/>
        </w:rPr>
      </w:pPr>
    </w:p>
    <w:p w:rsidR="00BD0D51" w:rsidRDefault="00BD0D51" w:rsidP="00F81116">
      <w:pPr>
        <w:pStyle w:val="ListParagraph"/>
        <w:ind w:left="790"/>
        <w:jc w:val="both"/>
        <w:rPr>
          <w:lang w:val="en-US"/>
        </w:rPr>
      </w:pPr>
    </w:p>
    <w:p w:rsidR="00BD0D51" w:rsidRDefault="00BD0D51" w:rsidP="00F81116">
      <w:pPr>
        <w:pStyle w:val="ListParagraph"/>
        <w:ind w:left="790"/>
        <w:jc w:val="both"/>
        <w:rPr>
          <w:lang w:val="en-US"/>
        </w:rPr>
      </w:pPr>
    </w:p>
    <w:p w:rsidR="00BD0D51" w:rsidRDefault="00BD0D51" w:rsidP="00F81116">
      <w:pPr>
        <w:pStyle w:val="ListParagraph"/>
        <w:ind w:left="790"/>
        <w:jc w:val="both"/>
        <w:rPr>
          <w:lang w:val="en-US"/>
        </w:rPr>
      </w:pPr>
      <w:bookmarkStart w:id="0" w:name="_GoBack"/>
      <w:bookmarkEnd w:id="0"/>
    </w:p>
    <w:p w:rsidR="00BD0D51" w:rsidRPr="00F81116" w:rsidRDefault="00BD0D51" w:rsidP="00F81116">
      <w:pPr>
        <w:pStyle w:val="ListParagraph"/>
        <w:ind w:left="790"/>
        <w:jc w:val="both"/>
        <w:rPr>
          <w:lang w:val="en-US"/>
        </w:rPr>
      </w:pPr>
    </w:p>
    <w:p w:rsidR="005B372C" w:rsidRPr="00217567" w:rsidRDefault="001B4151" w:rsidP="00217567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217567">
        <w:rPr>
          <w:lang w:val="en-US"/>
        </w:rPr>
        <w:t>Explain the role of banks in the transmission of monetary policy effects</w:t>
      </w:r>
      <w:r w:rsidR="005B372C" w:rsidRPr="00217567">
        <w:rPr>
          <w:lang w:val="en-US"/>
        </w:rPr>
        <w:t>, calculating the impact of an injection of 5 000 Million Euros of liquidity by the European Central Bank, through an open market operation,</w:t>
      </w:r>
      <w:r w:rsidRPr="00217567">
        <w:rPr>
          <w:lang w:val="en-US"/>
        </w:rPr>
        <w:t xml:space="preserve"> assuming</w:t>
      </w:r>
      <w:r w:rsidR="005B372C" w:rsidRPr="00217567">
        <w:rPr>
          <w:lang w:val="en-US"/>
        </w:rPr>
        <w:t>:</w:t>
      </w:r>
    </w:p>
    <w:p w:rsidR="005B372C" w:rsidRPr="005B372C" w:rsidRDefault="005B372C" w:rsidP="005B372C">
      <w:pPr>
        <w:pStyle w:val="ListParagraph"/>
        <w:rPr>
          <w:lang w:val="en-US"/>
        </w:rPr>
      </w:pPr>
    </w:p>
    <w:p w:rsidR="00217567" w:rsidRDefault="00217567" w:rsidP="005B372C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(i)</w:t>
      </w:r>
      <w:r>
        <w:rPr>
          <w:lang w:val="en-US"/>
        </w:rPr>
        <w:tab/>
      </w:r>
      <w:r w:rsidR="005B372C">
        <w:rPr>
          <w:lang w:val="en-US"/>
        </w:rPr>
        <w:t>reserve requirement rate = 5%</w:t>
      </w:r>
    </w:p>
    <w:p w:rsidR="00AA3786" w:rsidRDefault="00217567" w:rsidP="00AA3786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(ii)</w:t>
      </w:r>
      <w:r>
        <w:rPr>
          <w:lang w:val="en-US"/>
        </w:rPr>
        <w:tab/>
      </w:r>
      <w:r w:rsidR="005B372C">
        <w:rPr>
          <w:lang w:val="en-US"/>
        </w:rPr>
        <w:t>coefficient of preference for central bank’s money = 10%</w:t>
      </w:r>
    </w:p>
    <w:p w:rsidR="005B372C" w:rsidRPr="00AA3786" w:rsidRDefault="00AA3786" w:rsidP="00AA3786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(iii)</w:t>
      </w:r>
      <w:r>
        <w:rPr>
          <w:lang w:val="en-US"/>
        </w:rPr>
        <w:tab/>
      </w:r>
      <w:r w:rsidR="005B372C" w:rsidRPr="00AA3786">
        <w:rPr>
          <w:lang w:val="en-US"/>
        </w:rPr>
        <w:t>excess reserves coefficient = 20%</w:t>
      </w:r>
    </w:p>
    <w:p w:rsidR="005B372C" w:rsidRDefault="00217567" w:rsidP="005B372C">
      <w:pPr>
        <w:pStyle w:val="ListParagraph"/>
        <w:ind w:left="790"/>
        <w:jc w:val="both"/>
        <w:rPr>
          <w:lang w:val="en-US"/>
        </w:rPr>
      </w:pPr>
      <w:r>
        <w:rPr>
          <w:lang w:val="en-US"/>
        </w:rPr>
        <w:t>(</w:t>
      </w:r>
      <w:r w:rsidR="006864A2">
        <w:rPr>
          <w:lang w:val="en-US"/>
        </w:rPr>
        <w:t>5</w:t>
      </w:r>
      <w:r>
        <w:rPr>
          <w:lang w:val="en-US"/>
        </w:rPr>
        <w:t>,0)</w:t>
      </w:r>
    </w:p>
    <w:p w:rsidR="00217567" w:rsidRDefault="00217567" w:rsidP="005B372C">
      <w:pPr>
        <w:pStyle w:val="ListParagraph"/>
        <w:ind w:left="790"/>
        <w:jc w:val="both"/>
        <w:rPr>
          <w:lang w:val="en-US"/>
        </w:rPr>
      </w:pPr>
    </w:p>
    <w:p w:rsidR="00BD0D51" w:rsidRDefault="00BD0D51" w:rsidP="00BD0D51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See excel file</w:t>
      </w:r>
    </w:p>
    <w:p w:rsidR="003D7C57" w:rsidRDefault="003D7C57" w:rsidP="003D7C57">
      <w:pPr>
        <w:pStyle w:val="ListParagraph"/>
        <w:ind w:left="1870"/>
        <w:jc w:val="both"/>
        <w:rPr>
          <w:lang w:val="en-US"/>
        </w:rPr>
      </w:pPr>
    </w:p>
    <w:p w:rsidR="005B372C" w:rsidRDefault="00217567" w:rsidP="00217567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Explain the role of monetary policy and prudential regulation in avoiding excessive levels of bank credit. (2,</w:t>
      </w:r>
      <w:r w:rsidR="004906A6">
        <w:rPr>
          <w:lang w:val="en-US"/>
        </w:rPr>
        <w:t>5</w:t>
      </w:r>
      <w:r>
        <w:rPr>
          <w:lang w:val="en-US"/>
        </w:rPr>
        <w:t>)</w:t>
      </w:r>
    </w:p>
    <w:p w:rsidR="00F81116" w:rsidRDefault="00F81116" w:rsidP="00F81116">
      <w:pPr>
        <w:pStyle w:val="ListParagraph"/>
        <w:ind w:left="790"/>
        <w:jc w:val="both"/>
        <w:rPr>
          <w:lang w:val="en-US"/>
        </w:rPr>
      </w:pPr>
    </w:p>
    <w:p w:rsidR="00F81116" w:rsidRDefault="00F81116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Monetary policy can refrain banks to offer too much credit, by increasing interest rates</w:t>
      </w:r>
    </w:p>
    <w:p w:rsidR="00F81116" w:rsidRDefault="00F81116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Prudential regulation can impose more demanding capital requirements, as well more conservative macroprudential rules, e.g. lower caps on LTV and DTI</w:t>
      </w:r>
    </w:p>
    <w:p w:rsidR="004906A6" w:rsidRDefault="004906A6" w:rsidP="004906A6">
      <w:pPr>
        <w:pStyle w:val="ListParagraph"/>
        <w:ind w:left="790"/>
        <w:jc w:val="both"/>
        <w:rPr>
          <w:lang w:val="en-US"/>
        </w:rPr>
      </w:pPr>
    </w:p>
    <w:p w:rsidR="001B4151" w:rsidRPr="00F81116" w:rsidRDefault="004906A6" w:rsidP="006864A2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4906A6">
        <w:rPr>
          <w:rFonts w:cstheme="minorHAnsi"/>
          <w:lang w:val="en-US"/>
        </w:rPr>
        <w:t>Explain the role of securitization and credit derivatives in the subprime crisis. (2,5)</w:t>
      </w:r>
    </w:p>
    <w:p w:rsidR="00F81116" w:rsidRDefault="00F81116" w:rsidP="00F81116">
      <w:pPr>
        <w:pStyle w:val="ListParagraph"/>
        <w:ind w:left="790"/>
        <w:jc w:val="both"/>
        <w:rPr>
          <w:rFonts w:cstheme="minorHAnsi"/>
          <w:lang w:val="en-US"/>
        </w:rPr>
      </w:pPr>
    </w:p>
    <w:p w:rsidR="00F81116" w:rsidRPr="007C6290" w:rsidRDefault="007C6290" w:rsidP="00F81116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rFonts w:cstheme="minorHAnsi"/>
          <w:lang w:val="en-US"/>
        </w:rPr>
        <w:t>CDS</w:t>
      </w:r>
      <w:r w:rsidR="00BD0D51">
        <w:rPr>
          <w:rFonts w:cstheme="minorHAnsi"/>
          <w:lang w:val="en-US"/>
        </w:rPr>
        <w:t xml:space="preserve"> – increase exposure to credit risk, namely to financial institutions</w:t>
      </w:r>
    </w:p>
    <w:p w:rsidR="007C6290" w:rsidRPr="001B4151" w:rsidRDefault="007C6290" w:rsidP="00BD0D51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rFonts w:cstheme="minorHAnsi"/>
          <w:lang w:val="en-US"/>
        </w:rPr>
        <w:t>Securitisations</w:t>
      </w:r>
      <w:r w:rsidR="00BD0D51">
        <w:rPr>
          <w:rFonts w:cstheme="minorHAnsi"/>
          <w:lang w:val="en-US"/>
        </w:rPr>
        <w:t xml:space="preserve"> – instrumental to spread the risk of residential mortgage loans worldwide, namely through the less subordinated tranches, receiving very high credit ratings</w:t>
      </w:r>
    </w:p>
    <w:sectPr w:rsidR="007C6290" w:rsidRPr="001B4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4E" w:rsidRDefault="002D084E" w:rsidP="004B6029">
      <w:pPr>
        <w:spacing w:after="0" w:line="240" w:lineRule="auto"/>
      </w:pPr>
      <w:r>
        <w:separator/>
      </w:r>
    </w:p>
  </w:endnote>
  <w:endnote w:type="continuationSeparator" w:id="0">
    <w:p w:rsidR="002D084E" w:rsidRDefault="002D084E" w:rsidP="004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4E" w:rsidRDefault="002D084E" w:rsidP="004B6029">
      <w:pPr>
        <w:spacing w:after="0" w:line="240" w:lineRule="auto"/>
      </w:pPr>
      <w:r>
        <w:separator/>
      </w:r>
    </w:p>
  </w:footnote>
  <w:footnote w:type="continuationSeparator" w:id="0">
    <w:p w:rsidR="002D084E" w:rsidRDefault="002D084E" w:rsidP="004B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8C1"/>
    <w:multiLevelType w:val="multilevel"/>
    <w:tmpl w:val="5A9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4412D"/>
    <w:multiLevelType w:val="multilevel"/>
    <w:tmpl w:val="2A988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173523"/>
    <w:multiLevelType w:val="hybridMultilevel"/>
    <w:tmpl w:val="F4121962"/>
    <w:lvl w:ilvl="0" w:tplc="15AE0FF2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70" w:hanging="360"/>
      </w:pPr>
    </w:lvl>
    <w:lvl w:ilvl="2" w:tplc="0816001B" w:tentative="1">
      <w:start w:val="1"/>
      <w:numFmt w:val="lowerRoman"/>
      <w:lvlText w:val="%3."/>
      <w:lvlJc w:val="right"/>
      <w:pPr>
        <w:ind w:left="2590" w:hanging="180"/>
      </w:pPr>
    </w:lvl>
    <w:lvl w:ilvl="3" w:tplc="0816000F" w:tentative="1">
      <w:start w:val="1"/>
      <w:numFmt w:val="decimal"/>
      <w:lvlText w:val="%4."/>
      <w:lvlJc w:val="left"/>
      <w:pPr>
        <w:ind w:left="3310" w:hanging="360"/>
      </w:pPr>
    </w:lvl>
    <w:lvl w:ilvl="4" w:tplc="08160019" w:tentative="1">
      <w:start w:val="1"/>
      <w:numFmt w:val="lowerLetter"/>
      <w:lvlText w:val="%5."/>
      <w:lvlJc w:val="left"/>
      <w:pPr>
        <w:ind w:left="4030" w:hanging="360"/>
      </w:pPr>
    </w:lvl>
    <w:lvl w:ilvl="5" w:tplc="0816001B" w:tentative="1">
      <w:start w:val="1"/>
      <w:numFmt w:val="lowerRoman"/>
      <w:lvlText w:val="%6."/>
      <w:lvlJc w:val="right"/>
      <w:pPr>
        <w:ind w:left="4750" w:hanging="180"/>
      </w:pPr>
    </w:lvl>
    <w:lvl w:ilvl="6" w:tplc="0816000F" w:tentative="1">
      <w:start w:val="1"/>
      <w:numFmt w:val="decimal"/>
      <w:lvlText w:val="%7."/>
      <w:lvlJc w:val="left"/>
      <w:pPr>
        <w:ind w:left="5470" w:hanging="360"/>
      </w:pPr>
    </w:lvl>
    <w:lvl w:ilvl="7" w:tplc="08160019" w:tentative="1">
      <w:start w:val="1"/>
      <w:numFmt w:val="lowerLetter"/>
      <w:lvlText w:val="%8."/>
      <w:lvlJc w:val="left"/>
      <w:pPr>
        <w:ind w:left="6190" w:hanging="360"/>
      </w:pPr>
    </w:lvl>
    <w:lvl w:ilvl="8" w:tplc="081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4072109B"/>
    <w:multiLevelType w:val="hybridMultilevel"/>
    <w:tmpl w:val="AFD06CFA"/>
    <w:lvl w:ilvl="0" w:tplc="B1FEFEBA">
      <w:start w:val="2"/>
      <w:numFmt w:val="bullet"/>
      <w:lvlText w:val="-"/>
      <w:lvlJc w:val="left"/>
      <w:pPr>
        <w:ind w:left="187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" w15:restartNumberingAfterBreak="0">
    <w:nsid w:val="6F387EFC"/>
    <w:multiLevelType w:val="hybridMultilevel"/>
    <w:tmpl w:val="02524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F0DFF"/>
    <w:multiLevelType w:val="hybridMultilevel"/>
    <w:tmpl w:val="6AF83F92"/>
    <w:lvl w:ilvl="0" w:tplc="1872279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859E9"/>
    <w:multiLevelType w:val="hybridMultilevel"/>
    <w:tmpl w:val="DFA8E6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E45C2"/>
    <w:multiLevelType w:val="multilevel"/>
    <w:tmpl w:val="EA68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90"/>
    <w:rsid w:val="001700DA"/>
    <w:rsid w:val="001B4151"/>
    <w:rsid w:val="00217567"/>
    <w:rsid w:val="002249A2"/>
    <w:rsid w:val="00233B94"/>
    <w:rsid w:val="002B20F3"/>
    <w:rsid w:val="002D084E"/>
    <w:rsid w:val="003969DB"/>
    <w:rsid w:val="003D7C57"/>
    <w:rsid w:val="003E29D3"/>
    <w:rsid w:val="00462848"/>
    <w:rsid w:val="004906A6"/>
    <w:rsid w:val="004B6029"/>
    <w:rsid w:val="004F00F5"/>
    <w:rsid w:val="00583E90"/>
    <w:rsid w:val="005B372C"/>
    <w:rsid w:val="005F0CEF"/>
    <w:rsid w:val="00637D59"/>
    <w:rsid w:val="006864A2"/>
    <w:rsid w:val="00783B8C"/>
    <w:rsid w:val="007B5A38"/>
    <w:rsid w:val="007C6290"/>
    <w:rsid w:val="008300D0"/>
    <w:rsid w:val="00881977"/>
    <w:rsid w:val="008D28C3"/>
    <w:rsid w:val="008F282B"/>
    <w:rsid w:val="00AA3786"/>
    <w:rsid w:val="00B37C68"/>
    <w:rsid w:val="00B4431E"/>
    <w:rsid w:val="00BD0D51"/>
    <w:rsid w:val="00E1072C"/>
    <w:rsid w:val="00E824DE"/>
    <w:rsid w:val="00E83086"/>
    <w:rsid w:val="00F22C4B"/>
    <w:rsid w:val="00F44A11"/>
    <w:rsid w:val="00F81116"/>
    <w:rsid w:val="00F871EF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6EEA"/>
  <w15:chartTrackingRefBased/>
  <w15:docId w15:val="{D5EF9AD4-5E68-4A87-A97A-CA06ADA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Barros Luís</dc:creator>
  <cp:keywords/>
  <dc:description/>
  <cp:lastModifiedBy>Jorge Barros Luís</cp:lastModifiedBy>
  <cp:revision>6</cp:revision>
  <dcterms:created xsi:type="dcterms:W3CDTF">2021-02-01T18:58:00Z</dcterms:created>
  <dcterms:modified xsi:type="dcterms:W3CDTF">2021-02-03T02:42:00Z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27425e-59da-41ed-9745-ddd5173ab2f7_Enabled">
    <vt:lpwstr>True</vt:lpwstr>
  </property>
  <property fmtid="{D5CDD505-2E9C-101B-9397-08002B2CF9AE}" pid="3" name="MSIP_Label_f127425e-59da-41ed-9745-ddd5173ab2f7_SiteId">
    <vt:lpwstr>0f172980-1261-4323-ab7a-c89b472843d7</vt:lpwstr>
  </property>
  <property fmtid="{D5CDD505-2E9C-101B-9397-08002B2CF9AE}" pid="4" name="MSIP_Label_f127425e-59da-41ed-9745-ddd5173ab2f7_Owner">
    <vt:lpwstr>JJLuis@montepio.pt</vt:lpwstr>
  </property>
  <property fmtid="{D5CDD505-2E9C-101B-9397-08002B2CF9AE}" pid="5" name="MSIP_Label_f127425e-59da-41ed-9745-ddd5173ab2f7_SetDate">
    <vt:lpwstr>2020-09-02T21:39:07.2411065Z</vt:lpwstr>
  </property>
  <property fmtid="{D5CDD505-2E9C-101B-9397-08002B2CF9AE}" pid="6" name="MSIP_Label_f127425e-59da-41ed-9745-ddd5173ab2f7_Name">
    <vt:lpwstr>Publico</vt:lpwstr>
  </property>
  <property fmtid="{D5CDD505-2E9C-101B-9397-08002B2CF9AE}" pid="7" name="MSIP_Label_f127425e-59da-41ed-9745-ddd5173ab2f7_Application">
    <vt:lpwstr>Microsoft Azure Information Protection</vt:lpwstr>
  </property>
  <property fmtid="{D5CDD505-2E9C-101B-9397-08002B2CF9AE}" pid="8" name="MSIP_Label_f127425e-59da-41ed-9745-ddd5173ab2f7_ActionId">
    <vt:lpwstr>a6301d38-95f8-4646-b088-9622beb234ba</vt:lpwstr>
  </property>
  <property fmtid="{D5CDD505-2E9C-101B-9397-08002B2CF9AE}" pid="9" name="MSIP_Label_f127425e-59da-41ed-9745-ddd5173ab2f7_Extended_MSFT_Method">
    <vt:lpwstr>Automatic</vt:lpwstr>
  </property>
  <property fmtid="{D5CDD505-2E9C-101B-9397-08002B2CF9AE}" pid="10" name="Sensitivity">
    <vt:lpwstr>Publico</vt:lpwstr>
  </property>
</Properties>
</file>