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DFB22" w14:textId="77777777" w:rsidR="0097491F" w:rsidRDefault="0097491F" w:rsidP="0097491F">
      <w:pPr>
        <w:jc w:val="center"/>
        <w:rPr>
          <w:lang w:val="en-US"/>
        </w:rPr>
      </w:pPr>
      <w:r w:rsidRPr="000F0A15">
        <w:rPr>
          <w:rFonts w:ascii="Arial" w:hAnsi="Arial" w:cs="Arial"/>
          <w:b/>
          <w:bCs/>
          <w:noProof/>
          <w:lang w:eastAsia="pt-PT"/>
        </w:rPr>
        <w:drawing>
          <wp:inline distT="0" distB="0" distL="0" distR="0" wp14:anchorId="0B37EBE9" wp14:editId="7B61FB8C">
            <wp:extent cx="1854200" cy="717550"/>
            <wp:effectExtent l="0" t="0" r="0" b="6350"/>
            <wp:docPr id="6" name="Picture 5" descr="A red and white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red and white logo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379" cy="729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844A2" w14:textId="77777777" w:rsidR="0097491F" w:rsidRPr="00BA4EED" w:rsidRDefault="0097491F" w:rsidP="0097491F">
      <w:pPr>
        <w:pStyle w:val="Default"/>
        <w:jc w:val="center"/>
        <w:rPr>
          <w:rFonts w:asciiTheme="minorHAnsi" w:hAnsiTheme="minorHAnsi" w:cstheme="minorHAnsi"/>
          <w:b/>
          <w:lang w:val="en-US"/>
        </w:rPr>
      </w:pPr>
      <w:r w:rsidRPr="00BA4EED">
        <w:rPr>
          <w:rFonts w:asciiTheme="minorHAnsi" w:hAnsiTheme="minorHAnsi" w:cstheme="minorHAnsi"/>
          <w:b/>
          <w:sz w:val="28"/>
          <w:szCs w:val="28"/>
          <w:lang w:val="en-US"/>
        </w:rPr>
        <w:t xml:space="preserve">Master in Mathematical Financial </w:t>
      </w:r>
    </w:p>
    <w:p w14:paraId="78FDC94C" w14:textId="77777777" w:rsidR="0097491F" w:rsidRPr="00BA4EED" w:rsidRDefault="0097491F" w:rsidP="0097491F">
      <w:pPr>
        <w:pStyle w:val="Default"/>
        <w:jc w:val="center"/>
        <w:rPr>
          <w:rFonts w:asciiTheme="minorHAnsi" w:hAnsiTheme="minorHAnsi" w:cstheme="minorHAnsi"/>
          <w:b/>
          <w:lang w:val="en-US"/>
        </w:rPr>
      </w:pPr>
    </w:p>
    <w:p w14:paraId="3B206FA1" w14:textId="77777777" w:rsidR="0097491F" w:rsidRPr="00BA4EED" w:rsidRDefault="0097491F" w:rsidP="0097491F">
      <w:pPr>
        <w:pStyle w:val="Default"/>
        <w:jc w:val="center"/>
        <w:rPr>
          <w:rFonts w:asciiTheme="minorHAnsi" w:hAnsiTheme="minorHAnsi" w:cstheme="minorHAnsi"/>
          <w:b/>
          <w:lang w:val="en-US"/>
        </w:rPr>
      </w:pPr>
      <w:r w:rsidRPr="00BA4EED">
        <w:rPr>
          <w:rFonts w:asciiTheme="minorHAnsi" w:hAnsiTheme="minorHAnsi" w:cstheme="minorHAnsi"/>
          <w:b/>
          <w:lang w:val="en-US"/>
        </w:rPr>
        <w:t>Interest Rates and Credit Risk Models</w:t>
      </w:r>
    </w:p>
    <w:p w14:paraId="6667599D" w14:textId="77777777" w:rsidR="0097491F" w:rsidRPr="00BA4EED" w:rsidRDefault="0097491F" w:rsidP="0097491F">
      <w:pPr>
        <w:pStyle w:val="Default"/>
        <w:jc w:val="center"/>
        <w:rPr>
          <w:rFonts w:asciiTheme="minorHAnsi" w:hAnsiTheme="minorHAnsi" w:cstheme="minorHAnsi"/>
          <w:b/>
          <w:lang w:val="en-US"/>
        </w:rPr>
      </w:pPr>
    </w:p>
    <w:p w14:paraId="25E5CBFB" w14:textId="2586D299" w:rsidR="0097491F" w:rsidRPr="00BA4EED" w:rsidRDefault="0097491F" w:rsidP="0097491F">
      <w:pPr>
        <w:jc w:val="center"/>
        <w:rPr>
          <w:rFonts w:cstheme="minorHAnsi"/>
          <w:b/>
          <w:sz w:val="24"/>
          <w:szCs w:val="24"/>
          <w:lang w:val="en-US"/>
        </w:rPr>
      </w:pPr>
      <w:r w:rsidRPr="00BA4EED">
        <w:rPr>
          <w:rFonts w:cstheme="minorHAnsi"/>
          <w:b/>
          <w:sz w:val="24"/>
          <w:szCs w:val="24"/>
          <w:lang w:val="en-US"/>
        </w:rPr>
        <w:t xml:space="preserve">Exam – </w:t>
      </w:r>
      <w:r w:rsidR="00AD7D40">
        <w:rPr>
          <w:rFonts w:cstheme="minorHAnsi"/>
          <w:b/>
          <w:sz w:val="24"/>
          <w:szCs w:val="24"/>
          <w:lang w:val="en-US"/>
        </w:rPr>
        <w:t>10</w:t>
      </w:r>
      <w:r w:rsidRPr="00BA4EED">
        <w:rPr>
          <w:rFonts w:cstheme="minorHAnsi"/>
          <w:b/>
          <w:sz w:val="24"/>
          <w:szCs w:val="24"/>
          <w:lang w:val="en-US"/>
        </w:rPr>
        <w:t xml:space="preserve"> </w:t>
      </w:r>
      <w:r w:rsidR="00AD7D40">
        <w:rPr>
          <w:rFonts w:cstheme="minorHAnsi"/>
          <w:b/>
          <w:sz w:val="24"/>
          <w:szCs w:val="24"/>
          <w:lang w:val="en-US"/>
        </w:rPr>
        <w:t xml:space="preserve">January </w:t>
      </w:r>
      <w:r w:rsidRPr="00BA4EED">
        <w:rPr>
          <w:rFonts w:cstheme="minorHAnsi"/>
          <w:b/>
          <w:sz w:val="24"/>
          <w:szCs w:val="24"/>
          <w:lang w:val="en-US"/>
        </w:rPr>
        <w:t>202</w:t>
      </w:r>
      <w:r w:rsidR="00AD7D40">
        <w:rPr>
          <w:rFonts w:cstheme="minorHAnsi"/>
          <w:b/>
          <w:sz w:val="24"/>
          <w:szCs w:val="24"/>
          <w:lang w:val="en-US"/>
        </w:rPr>
        <w:t>5</w:t>
      </w:r>
    </w:p>
    <w:p w14:paraId="12CB6554" w14:textId="664301D0" w:rsidR="00B136C5" w:rsidRDefault="00B136C5" w:rsidP="008549B5">
      <w:pPr>
        <w:spacing w:after="120" w:line="240" w:lineRule="exact"/>
        <w:ind w:left="709" w:right="-136" w:hanging="425"/>
        <w:jc w:val="both"/>
        <w:rPr>
          <w:lang w:val="en"/>
        </w:rPr>
      </w:pPr>
      <w:r>
        <w:rPr>
          <w:rFonts w:eastAsia="Times New Roman"/>
          <w:lang w:val="en"/>
        </w:rPr>
        <w:t>1</w:t>
      </w:r>
      <w:r w:rsidR="0097491F" w:rsidRPr="00FA14CA">
        <w:rPr>
          <w:rFonts w:eastAsia="Times New Roman"/>
          <w:lang w:val="en"/>
        </w:rPr>
        <w:t>.</w:t>
      </w:r>
      <w:r>
        <w:rPr>
          <w:rFonts w:eastAsia="Times New Roman"/>
          <w:lang w:val="en"/>
        </w:rPr>
        <w:t xml:space="preserve"> </w:t>
      </w:r>
      <w:r w:rsidRPr="00C51A37">
        <w:rPr>
          <w:lang w:val="en"/>
        </w:rPr>
        <w:tab/>
        <w:t>Assuming that</w:t>
      </w:r>
      <w:r>
        <w:rPr>
          <w:lang w:val="en"/>
        </w:rPr>
        <w:t xml:space="preserve"> </w:t>
      </w:r>
      <w:r w:rsidRPr="00C51A37">
        <w:rPr>
          <w:lang w:val="en"/>
        </w:rPr>
        <w:t>you ha</w:t>
      </w:r>
      <w:r>
        <w:rPr>
          <w:lang w:val="en"/>
        </w:rPr>
        <w:t>ve</w:t>
      </w:r>
      <w:r w:rsidRPr="00C51A37">
        <w:rPr>
          <w:lang w:val="en"/>
        </w:rPr>
        <w:t xml:space="preserve"> the following information available about the 1-year rating transition matrix from the statistics of a recognized rating agency, aggregating all information regarding investment and speculative grade ratings respectively in a rating class</w:t>
      </w:r>
      <w:r w:rsidRPr="00E22943">
        <w:rPr>
          <w:i/>
          <w:lang w:val="en"/>
        </w:rPr>
        <w:t xml:space="preserve"> I</w:t>
      </w:r>
      <w:r w:rsidRPr="00C51A37">
        <w:rPr>
          <w:lang w:val="en"/>
        </w:rPr>
        <w:t xml:space="preserve"> and </w:t>
      </w:r>
      <w:r w:rsidRPr="00E22943">
        <w:rPr>
          <w:i/>
          <w:lang w:val="en"/>
        </w:rPr>
        <w:t>S</w:t>
      </w:r>
      <w:r w:rsidRPr="00C51A37">
        <w:rPr>
          <w:lang w:val="en"/>
        </w:rPr>
        <w:t xml:space="preserve"> (corresponding </w:t>
      </w:r>
      <w:r w:rsidRPr="00E22943">
        <w:rPr>
          <w:i/>
          <w:lang w:val="en"/>
        </w:rPr>
        <w:t>D</w:t>
      </w:r>
      <w:r w:rsidRPr="00C51A37">
        <w:rPr>
          <w:lang w:val="en"/>
        </w:rPr>
        <w:t xml:space="preserve"> to default)</w:t>
      </w:r>
      <w:r>
        <w:rPr>
          <w:lang w:val="en"/>
        </w:rPr>
        <w:t>:</w:t>
      </w:r>
    </w:p>
    <w:tbl>
      <w:tblPr>
        <w:tblW w:w="5660" w:type="dxa"/>
        <w:tblInd w:w="680" w:type="dxa"/>
        <w:tblLook w:val="04A0" w:firstRow="1" w:lastRow="0" w:firstColumn="1" w:lastColumn="0" w:noHBand="0" w:noVBand="1"/>
      </w:tblPr>
      <w:tblGrid>
        <w:gridCol w:w="1600"/>
        <w:gridCol w:w="1380"/>
        <w:gridCol w:w="1240"/>
        <w:gridCol w:w="1440"/>
      </w:tblGrid>
      <w:tr w:rsidR="00B136C5" w:rsidRPr="00B34693" w14:paraId="3DEB4736" w14:textId="77777777" w:rsidTr="00743786">
        <w:trPr>
          <w:trHeight w:val="330"/>
        </w:trPr>
        <w:tc>
          <w:tcPr>
            <w:tcW w:w="160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0D5A" w14:textId="77777777" w:rsidR="00B136C5" w:rsidRPr="00B34693" w:rsidRDefault="00B136C5" w:rsidP="008549B5">
            <w:pPr>
              <w:spacing w:after="0" w:line="240" w:lineRule="exact"/>
              <w:rPr>
                <w:rFonts w:eastAsia="Times New Roman"/>
                <w:color w:val="000000"/>
                <w:lang w:val="en-GB" w:eastAsia="en-GB"/>
              </w:rPr>
            </w:pPr>
            <w:r w:rsidRPr="00B34693">
              <w:rPr>
                <w:rFonts w:eastAsia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3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BF442" w14:textId="77777777" w:rsidR="00B136C5" w:rsidRPr="00B34693" w:rsidRDefault="00B136C5" w:rsidP="008549B5">
            <w:pPr>
              <w:spacing w:after="0" w:line="240" w:lineRule="exact"/>
              <w:jc w:val="center"/>
              <w:rPr>
                <w:rFonts w:eastAsia="Times New Roman"/>
                <w:color w:val="000000"/>
                <w:lang w:val="en-GB" w:eastAsia="en-GB"/>
              </w:rPr>
            </w:pPr>
            <w:r w:rsidRPr="00B34693">
              <w:rPr>
                <w:rFonts w:eastAsia="Times New Roman"/>
                <w:color w:val="000000"/>
                <w:lang w:val="en-GB" w:eastAsia="en-GB"/>
              </w:rPr>
              <w:t>I</w:t>
            </w:r>
          </w:p>
        </w:tc>
        <w:tc>
          <w:tcPr>
            <w:tcW w:w="124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67B85" w14:textId="77777777" w:rsidR="00B136C5" w:rsidRPr="00B34693" w:rsidRDefault="00B136C5" w:rsidP="008549B5">
            <w:pPr>
              <w:spacing w:after="0" w:line="240" w:lineRule="exact"/>
              <w:jc w:val="center"/>
              <w:rPr>
                <w:rFonts w:eastAsia="Times New Roman"/>
                <w:color w:val="000000"/>
                <w:lang w:val="en-GB" w:eastAsia="en-GB"/>
              </w:rPr>
            </w:pPr>
            <w:r w:rsidRPr="00B34693">
              <w:rPr>
                <w:rFonts w:eastAsia="Times New Roman"/>
                <w:color w:val="000000"/>
                <w:lang w:val="en-GB" w:eastAsia="en-GB"/>
              </w:rPr>
              <w:t>S</w:t>
            </w:r>
          </w:p>
        </w:tc>
        <w:tc>
          <w:tcPr>
            <w:tcW w:w="144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98D5463" w14:textId="77777777" w:rsidR="00B136C5" w:rsidRPr="00B34693" w:rsidRDefault="00B136C5" w:rsidP="008549B5">
            <w:pPr>
              <w:spacing w:after="0" w:line="240" w:lineRule="exact"/>
              <w:jc w:val="center"/>
              <w:rPr>
                <w:rFonts w:eastAsia="Times New Roman"/>
                <w:color w:val="000000"/>
                <w:lang w:val="en-GB" w:eastAsia="en-GB"/>
              </w:rPr>
            </w:pPr>
            <w:r w:rsidRPr="00B34693">
              <w:rPr>
                <w:rFonts w:eastAsia="Times New Roman"/>
                <w:color w:val="000000"/>
                <w:lang w:val="en-GB" w:eastAsia="en-GB"/>
              </w:rPr>
              <w:t>D</w:t>
            </w:r>
          </w:p>
        </w:tc>
      </w:tr>
      <w:tr w:rsidR="00B136C5" w:rsidRPr="00B34693" w14:paraId="713AAF60" w14:textId="77777777" w:rsidTr="00743786">
        <w:trPr>
          <w:trHeight w:val="315"/>
        </w:trPr>
        <w:tc>
          <w:tcPr>
            <w:tcW w:w="1600" w:type="dxa"/>
            <w:tcBorders>
              <w:top w:val="nil"/>
              <w:left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C3CE" w14:textId="77777777" w:rsidR="00B136C5" w:rsidRPr="00B34693" w:rsidRDefault="00B136C5" w:rsidP="008549B5">
            <w:pPr>
              <w:spacing w:after="0" w:line="240" w:lineRule="exact"/>
              <w:rPr>
                <w:rFonts w:eastAsia="Times New Roman"/>
                <w:color w:val="000000"/>
                <w:lang w:val="en-GB" w:eastAsia="en-GB"/>
              </w:rPr>
            </w:pPr>
            <w:r w:rsidRPr="00B34693">
              <w:rPr>
                <w:rFonts w:eastAsia="Times New Roman"/>
                <w:color w:val="000000"/>
                <w:lang w:val="en-GB" w:eastAsia="en-GB"/>
              </w:rPr>
              <w:t>I</w:t>
            </w:r>
          </w:p>
        </w:tc>
        <w:tc>
          <w:tcPr>
            <w:tcW w:w="13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F5980" w14:textId="48A54EDB" w:rsidR="00B136C5" w:rsidRPr="00B34693" w:rsidRDefault="00B136C5" w:rsidP="008549B5">
            <w:pPr>
              <w:spacing w:after="0" w:line="240" w:lineRule="exact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 w:rsidRPr="00B34693">
              <w:rPr>
                <w:rFonts w:eastAsia="Times New Roman"/>
                <w:color w:val="000000"/>
                <w:lang w:val="en-GB" w:eastAsia="en-GB"/>
              </w:rPr>
              <w:t>0,</w:t>
            </w:r>
            <w:r>
              <w:rPr>
                <w:rFonts w:eastAsia="Times New Roman"/>
                <w:color w:val="000000"/>
                <w:lang w:val="en-GB" w:eastAsia="en-GB"/>
              </w:rPr>
              <w:t>85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96F06" w14:textId="6F044EF1" w:rsidR="00B136C5" w:rsidRPr="00B34693" w:rsidRDefault="00B136C5" w:rsidP="008549B5">
            <w:pPr>
              <w:spacing w:after="0" w:line="240" w:lineRule="exact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 w:rsidRPr="00B34693">
              <w:rPr>
                <w:rFonts w:eastAsia="Times New Roman"/>
                <w:color w:val="000000"/>
                <w:lang w:val="en-GB" w:eastAsia="en-GB"/>
              </w:rPr>
              <w:t>0,</w:t>
            </w:r>
            <w:r>
              <w:rPr>
                <w:rFonts w:eastAsia="Times New Roman"/>
                <w:color w:val="000000"/>
                <w:lang w:val="en-GB" w:eastAsia="en-GB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38505C2" w14:textId="13555855" w:rsidR="00B136C5" w:rsidRPr="00B34693" w:rsidRDefault="00B136C5" w:rsidP="008549B5">
            <w:pPr>
              <w:spacing w:after="0" w:line="240" w:lineRule="exact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 w:rsidRPr="00B34693">
              <w:rPr>
                <w:rFonts w:eastAsia="Times New Roman"/>
                <w:color w:val="000000"/>
                <w:lang w:val="en-GB" w:eastAsia="en-GB"/>
              </w:rPr>
              <w:t>0,0</w:t>
            </w:r>
            <w:r>
              <w:rPr>
                <w:rFonts w:eastAsia="Times New Roman"/>
                <w:color w:val="000000"/>
                <w:lang w:val="en-GB" w:eastAsia="en-GB"/>
              </w:rPr>
              <w:t>2</w:t>
            </w:r>
          </w:p>
        </w:tc>
      </w:tr>
      <w:tr w:rsidR="00B136C5" w:rsidRPr="00B34693" w14:paraId="65CC8249" w14:textId="77777777" w:rsidTr="00743786">
        <w:trPr>
          <w:trHeight w:val="300"/>
        </w:trPr>
        <w:tc>
          <w:tcPr>
            <w:tcW w:w="160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F626" w14:textId="77777777" w:rsidR="00B136C5" w:rsidRPr="00B34693" w:rsidRDefault="00B136C5" w:rsidP="008549B5">
            <w:pPr>
              <w:spacing w:after="0" w:line="240" w:lineRule="exact"/>
              <w:rPr>
                <w:rFonts w:eastAsia="Times New Roman"/>
                <w:color w:val="000000"/>
                <w:lang w:val="en-GB" w:eastAsia="en-GB"/>
              </w:rPr>
            </w:pPr>
            <w:r w:rsidRPr="00B34693">
              <w:rPr>
                <w:rFonts w:eastAsia="Times New Roman"/>
                <w:color w:val="000000"/>
                <w:lang w:val="en-GB" w:eastAsia="en-GB"/>
              </w:rPr>
              <w:t>S</w:t>
            </w:r>
          </w:p>
        </w:tc>
        <w:tc>
          <w:tcPr>
            <w:tcW w:w="13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E0ECF" w14:textId="13B8684D" w:rsidR="00B136C5" w:rsidRPr="00B34693" w:rsidRDefault="00B136C5" w:rsidP="008549B5">
            <w:pPr>
              <w:spacing w:after="0" w:line="240" w:lineRule="exact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 w:rsidRPr="00B34693">
              <w:rPr>
                <w:rFonts w:eastAsia="Times New Roman"/>
                <w:color w:val="000000"/>
                <w:lang w:val="en-GB" w:eastAsia="en-GB"/>
              </w:rPr>
              <w:t>0,</w:t>
            </w:r>
            <w:r>
              <w:rPr>
                <w:rFonts w:eastAsia="Times New Roman"/>
                <w:color w:val="000000"/>
                <w:lang w:val="en-GB" w:eastAsia="en-GB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F08A" w14:textId="44A2DD6A" w:rsidR="00B136C5" w:rsidRPr="00B34693" w:rsidRDefault="00B136C5" w:rsidP="008549B5">
            <w:pPr>
              <w:spacing w:after="0" w:line="240" w:lineRule="exact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 w:rsidRPr="00B34693">
              <w:rPr>
                <w:rFonts w:eastAsia="Times New Roman"/>
                <w:color w:val="000000"/>
                <w:lang w:val="en-GB" w:eastAsia="en-GB"/>
              </w:rPr>
              <w:t>0,</w:t>
            </w:r>
            <w:r>
              <w:rPr>
                <w:rFonts w:eastAsia="Times New Roman"/>
                <w:color w:val="000000"/>
                <w:lang w:val="en-GB" w:eastAsia="en-GB"/>
              </w:rPr>
              <w:t>65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D3ADA10" w14:textId="77777777" w:rsidR="00B136C5" w:rsidRPr="00B34693" w:rsidRDefault="00B136C5" w:rsidP="008549B5">
            <w:pPr>
              <w:spacing w:after="0" w:line="240" w:lineRule="exact"/>
              <w:jc w:val="right"/>
              <w:rPr>
                <w:rFonts w:eastAsia="Times New Roman"/>
                <w:color w:val="000000"/>
                <w:lang w:val="en-GB" w:eastAsia="en-GB"/>
              </w:rPr>
            </w:pPr>
            <w:r w:rsidRPr="00B34693">
              <w:rPr>
                <w:rFonts w:eastAsia="Times New Roman"/>
                <w:color w:val="000000"/>
                <w:lang w:val="en-GB" w:eastAsia="en-GB"/>
              </w:rPr>
              <w:t>0,1</w:t>
            </w:r>
          </w:p>
        </w:tc>
      </w:tr>
    </w:tbl>
    <w:p w14:paraId="71AF08A0" w14:textId="77777777" w:rsidR="00B136C5" w:rsidRDefault="00B136C5" w:rsidP="008549B5">
      <w:pPr>
        <w:spacing w:after="120" w:line="240" w:lineRule="exact"/>
        <w:ind w:right="-136"/>
        <w:jc w:val="both"/>
        <w:rPr>
          <w:lang w:val="en"/>
        </w:rPr>
      </w:pPr>
    </w:p>
    <w:p w14:paraId="4BDA877E" w14:textId="432EFEEC" w:rsidR="00B136C5" w:rsidRPr="00A038A5" w:rsidRDefault="00B136C5" w:rsidP="00A038A5">
      <w:pPr>
        <w:pStyle w:val="ListParagraph"/>
        <w:numPr>
          <w:ilvl w:val="1"/>
          <w:numId w:val="11"/>
        </w:numPr>
        <w:spacing w:after="120" w:line="240" w:lineRule="exact"/>
        <w:ind w:right="-136"/>
        <w:jc w:val="both"/>
        <w:rPr>
          <w:lang w:val="en-US"/>
        </w:rPr>
      </w:pPr>
      <w:r w:rsidRPr="00A038A5">
        <w:rPr>
          <w:lang w:val="en-US"/>
        </w:rPr>
        <w:t>Compute the 2-year probability of default of a company with a rating classification of “I”, considering the potential rating migrations and interpret the result obtained. (2,0)</w:t>
      </w:r>
    </w:p>
    <w:p w14:paraId="67E12400" w14:textId="77777777" w:rsidR="00A038A5" w:rsidRDefault="00A038A5" w:rsidP="00A038A5">
      <w:pPr>
        <w:pStyle w:val="ListParagraph"/>
        <w:spacing w:after="120" w:line="240" w:lineRule="exact"/>
        <w:ind w:left="714" w:right="-136"/>
        <w:jc w:val="both"/>
        <w:rPr>
          <w:lang w:val="en"/>
        </w:rPr>
      </w:pPr>
    </w:p>
    <w:p w14:paraId="6B34D2B5" w14:textId="505AA1E2" w:rsidR="00A038A5" w:rsidRPr="00A038A5" w:rsidRDefault="00A038A5" w:rsidP="00A038A5">
      <w:pPr>
        <w:pStyle w:val="ListParagraph"/>
        <w:numPr>
          <w:ilvl w:val="0"/>
          <w:numId w:val="13"/>
        </w:numPr>
        <w:spacing w:after="120" w:line="240" w:lineRule="exact"/>
        <w:ind w:right="-136"/>
        <w:jc w:val="both"/>
        <w:rPr>
          <w:lang w:val="en"/>
        </w:rPr>
      </w:pPr>
      <w:r w:rsidRPr="00A038A5">
        <w:rPr>
          <w:lang w:val="en"/>
        </w:rPr>
        <w:t>see spreadsheet</w:t>
      </w:r>
    </w:p>
    <w:p w14:paraId="18EC0850" w14:textId="77777777" w:rsidR="00A038A5" w:rsidRPr="00A038A5" w:rsidRDefault="00A038A5" w:rsidP="00A038A5">
      <w:pPr>
        <w:pStyle w:val="ListParagraph"/>
        <w:numPr>
          <w:ilvl w:val="0"/>
          <w:numId w:val="12"/>
        </w:numPr>
        <w:spacing w:after="120" w:line="240" w:lineRule="exact"/>
        <w:ind w:right="-136"/>
        <w:jc w:val="both"/>
        <w:rPr>
          <w:lang w:val="en"/>
        </w:rPr>
      </w:pPr>
    </w:p>
    <w:p w14:paraId="2022D7D2" w14:textId="5ED6E1C0" w:rsidR="00B136C5" w:rsidRPr="00A038A5" w:rsidRDefault="00B136C5" w:rsidP="00A038A5">
      <w:pPr>
        <w:pStyle w:val="ListParagraph"/>
        <w:numPr>
          <w:ilvl w:val="1"/>
          <w:numId w:val="11"/>
        </w:numPr>
        <w:spacing w:after="120" w:line="240" w:lineRule="exact"/>
        <w:ind w:right="-136"/>
        <w:jc w:val="both"/>
        <w:rPr>
          <w:lang w:val="en"/>
        </w:rPr>
      </w:pPr>
      <w:r w:rsidRPr="00A038A5">
        <w:rPr>
          <w:lang w:val="en"/>
        </w:rPr>
        <w:t>What would be the default intensity necessary to get the 1-year default rate for the company and the same moment considered in the previous question, as well as the corresponding expected time to default, assuming that this default intensity follows a Poisson process? (</w:t>
      </w:r>
      <w:r w:rsidR="002C6C43" w:rsidRPr="00A038A5">
        <w:rPr>
          <w:lang w:val="en"/>
        </w:rPr>
        <w:t>3,0</w:t>
      </w:r>
      <w:r w:rsidRPr="00A038A5">
        <w:rPr>
          <w:lang w:val="en"/>
        </w:rPr>
        <w:t>)</w:t>
      </w:r>
    </w:p>
    <w:p w14:paraId="1ED4A551" w14:textId="77777777" w:rsidR="00A038A5" w:rsidRDefault="00A038A5" w:rsidP="00A038A5">
      <w:pPr>
        <w:pStyle w:val="ListParagraph"/>
        <w:spacing w:after="120" w:line="240" w:lineRule="exact"/>
        <w:ind w:left="714" w:right="-136"/>
        <w:jc w:val="both"/>
        <w:rPr>
          <w:lang w:val="en"/>
        </w:rPr>
      </w:pPr>
    </w:p>
    <w:p w14:paraId="0E7727A1" w14:textId="77777777" w:rsidR="00A038A5" w:rsidRPr="00A038A5" w:rsidRDefault="00A038A5" w:rsidP="00A038A5">
      <w:pPr>
        <w:pStyle w:val="ListParagraph"/>
        <w:numPr>
          <w:ilvl w:val="0"/>
          <w:numId w:val="13"/>
        </w:numPr>
        <w:spacing w:after="120" w:line="240" w:lineRule="exact"/>
        <w:ind w:right="-136"/>
        <w:jc w:val="both"/>
        <w:rPr>
          <w:lang w:val="en"/>
        </w:rPr>
      </w:pPr>
      <w:r w:rsidRPr="00A038A5">
        <w:rPr>
          <w:lang w:val="en"/>
        </w:rPr>
        <w:t>see spreadsheet</w:t>
      </w:r>
    </w:p>
    <w:p w14:paraId="2D86F0CB" w14:textId="77777777" w:rsidR="00A038A5" w:rsidRPr="00A038A5" w:rsidRDefault="00A038A5" w:rsidP="00A038A5">
      <w:pPr>
        <w:pStyle w:val="ListParagraph"/>
        <w:spacing w:after="120" w:line="240" w:lineRule="exact"/>
        <w:ind w:left="714" w:right="-136"/>
        <w:jc w:val="both"/>
        <w:rPr>
          <w:lang w:val="en"/>
        </w:rPr>
      </w:pPr>
    </w:p>
    <w:p w14:paraId="24CB284F" w14:textId="61F68C5C" w:rsidR="001A0DA4" w:rsidRDefault="00B136C5" w:rsidP="00A038A5">
      <w:pPr>
        <w:pStyle w:val="ListParagraph"/>
        <w:numPr>
          <w:ilvl w:val="1"/>
          <w:numId w:val="11"/>
        </w:numPr>
        <w:spacing w:after="120" w:line="240" w:lineRule="exact"/>
        <w:ind w:right="-136"/>
        <w:jc w:val="both"/>
        <w:rPr>
          <w:lang w:val="en"/>
        </w:rPr>
      </w:pPr>
      <w:r w:rsidRPr="00A038A5">
        <w:rPr>
          <w:lang w:val="en"/>
        </w:rPr>
        <w:t xml:space="preserve">Which additional information would you need to calculate the cumulative probability of default of the company for </w:t>
      </w:r>
      <w:r w:rsidRPr="00A038A5">
        <w:rPr>
          <w:i/>
          <w:lang w:val="en"/>
        </w:rPr>
        <w:t>t</w:t>
      </w:r>
      <w:r w:rsidRPr="00A038A5">
        <w:rPr>
          <w:lang w:val="en"/>
        </w:rPr>
        <w:t xml:space="preserve"> years assuming that default follows a Cox process and how would you calculate it. (2,</w:t>
      </w:r>
      <w:r w:rsidR="002C6C43" w:rsidRPr="00A038A5">
        <w:rPr>
          <w:lang w:val="en"/>
        </w:rPr>
        <w:t>5</w:t>
      </w:r>
      <w:r w:rsidRPr="00A038A5">
        <w:rPr>
          <w:lang w:val="en"/>
        </w:rPr>
        <w:t>)</w:t>
      </w:r>
    </w:p>
    <w:p w14:paraId="741B9A2C" w14:textId="77777777" w:rsidR="00A038A5" w:rsidRDefault="00A038A5" w:rsidP="00A038A5">
      <w:pPr>
        <w:pStyle w:val="ListParagraph"/>
        <w:spacing w:after="120" w:line="240" w:lineRule="exact"/>
        <w:ind w:left="714" w:right="-136"/>
        <w:jc w:val="both"/>
        <w:rPr>
          <w:lang w:val="en"/>
        </w:rPr>
      </w:pPr>
    </w:p>
    <w:p w14:paraId="5C736E45" w14:textId="4832338A" w:rsidR="0011498B" w:rsidRPr="0011498B" w:rsidRDefault="0011498B" w:rsidP="0011498B">
      <w:pPr>
        <w:pStyle w:val="ListParagraph"/>
        <w:spacing w:after="120" w:line="240" w:lineRule="exact"/>
        <w:ind w:left="714" w:right="-136"/>
        <w:jc w:val="both"/>
        <w:rPr>
          <w:lang w:val="en"/>
        </w:rPr>
      </w:pPr>
      <w:r>
        <w:rPr>
          <w:lang w:val="en"/>
        </w:rPr>
        <w:t xml:space="preserve">Probability of Survival (Probability of no jumps with </w:t>
      </w:r>
      <w:r>
        <w:rPr>
          <w:lang w:val="en"/>
        </w:rPr>
        <w:t>a time-varying</w:t>
      </w:r>
      <w:r>
        <w:rPr>
          <w:lang w:val="en"/>
        </w:rPr>
        <w:t xml:space="preserve"> </w:t>
      </w:r>
      <w:r w:rsidRPr="0011498B">
        <w:rPr>
          <w:rFonts w:ascii="Symbol" w:hAnsi="Symbol"/>
          <w:lang w:val="en"/>
        </w:rPr>
        <w:t>l</w:t>
      </w:r>
      <w:r>
        <w:rPr>
          <w:lang w:val="en"/>
        </w:rPr>
        <w:t>)</w:t>
      </w:r>
    </w:p>
    <w:p w14:paraId="3343403D" w14:textId="3E8905BA" w:rsidR="00A038A5" w:rsidRDefault="0011498B" w:rsidP="00A038A5">
      <w:pPr>
        <w:pStyle w:val="ListParagraph"/>
        <w:spacing w:after="120" w:line="240" w:lineRule="exact"/>
        <w:ind w:left="714" w:right="-136"/>
        <w:jc w:val="both"/>
        <w:rPr>
          <w:lang w:val="en"/>
        </w:rPr>
      </w:pPr>
      <w:r w:rsidRPr="0011498B">
        <w:drawing>
          <wp:inline distT="0" distB="0" distL="0" distR="0" wp14:anchorId="29AD8E9B" wp14:editId="2BAE2992">
            <wp:extent cx="1115941" cy="117731"/>
            <wp:effectExtent l="0" t="0" r="0" b="0"/>
            <wp:docPr id="30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2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23702" cy="1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A6026C" w14:textId="1EF0EB1B" w:rsidR="003C4223" w:rsidRDefault="003C4223" w:rsidP="00A038A5">
      <w:pPr>
        <w:pStyle w:val="ListParagraph"/>
        <w:spacing w:after="120" w:line="240" w:lineRule="exact"/>
        <w:ind w:left="714" w:right="-136"/>
        <w:jc w:val="both"/>
        <w:rPr>
          <w:lang w:val="en"/>
        </w:rPr>
      </w:pPr>
      <w:r>
        <w:rPr>
          <w:lang w:val="en"/>
        </w:rPr>
        <w:t xml:space="preserve">- </w:t>
      </w:r>
      <w:r w:rsidR="0011498B">
        <w:rPr>
          <w:lang w:val="en"/>
        </w:rPr>
        <w:t xml:space="preserve">knowing </w:t>
      </w:r>
      <w:r>
        <w:rPr>
          <w:lang w:val="en"/>
        </w:rPr>
        <w:t xml:space="preserve">time-varying </w:t>
      </w:r>
      <w:r w:rsidRPr="003C4223">
        <w:rPr>
          <w:rFonts w:ascii="Symbol" w:hAnsi="Symbol"/>
          <w:lang w:val="en"/>
        </w:rPr>
        <w:t>l</w:t>
      </w:r>
      <w:r w:rsidR="0011498B">
        <w:rPr>
          <w:lang w:val="en"/>
        </w:rPr>
        <w:t>’</w:t>
      </w:r>
      <w:proofErr w:type="spellStart"/>
      <w:r w:rsidR="0011498B">
        <w:rPr>
          <w:lang w:val="en"/>
        </w:rPr>
        <w:t>s</w:t>
      </w:r>
      <w:r w:rsidR="0011498B" w:rsidRPr="003C4223">
        <w:rPr>
          <w:rFonts w:ascii="Symbol" w:hAnsi="Symbol"/>
          <w:lang w:val="en"/>
        </w:rPr>
        <w:t xml:space="preserve"> </w:t>
      </w:r>
      <w:r w:rsidR="0011498B">
        <w:rPr>
          <w:lang w:val="en"/>
        </w:rPr>
        <w:t>i</w:t>
      </w:r>
      <w:r>
        <w:rPr>
          <w:lang w:val="en"/>
        </w:rPr>
        <w:t>s</w:t>
      </w:r>
      <w:proofErr w:type="spellEnd"/>
      <w:r>
        <w:rPr>
          <w:lang w:val="en"/>
        </w:rPr>
        <w:t xml:space="preserve"> necessary</w:t>
      </w:r>
    </w:p>
    <w:p w14:paraId="593EAD82" w14:textId="77777777" w:rsidR="003C4223" w:rsidRPr="00A038A5" w:rsidRDefault="003C4223" w:rsidP="00A038A5">
      <w:pPr>
        <w:pStyle w:val="ListParagraph"/>
        <w:spacing w:after="120" w:line="240" w:lineRule="exact"/>
        <w:ind w:left="714" w:right="-136"/>
        <w:jc w:val="both"/>
        <w:rPr>
          <w:lang w:val="en"/>
        </w:rPr>
      </w:pPr>
    </w:p>
    <w:p w14:paraId="098E4F48" w14:textId="1B8380EF" w:rsidR="001A0DA4" w:rsidRDefault="001A0DA4" w:rsidP="008549B5">
      <w:pPr>
        <w:spacing w:after="0" w:line="240" w:lineRule="exact"/>
        <w:ind w:left="709" w:right="-136" w:hanging="425"/>
        <w:jc w:val="both"/>
        <w:rPr>
          <w:lang w:val="en-US"/>
        </w:rPr>
      </w:pPr>
      <w:r>
        <w:rPr>
          <w:lang w:val="en"/>
        </w:rPr>
        <w:t>1.4.</w:t>
      </w:r>
      <w:r>
        <w:rPr>
          <w:lang w:val="en"/>
        </w:rPr>
        <w:tab/>
      </w:r>
      <w:r>
        <w:rPr>
          <w:lang w:val="en-US"/>
        </w:rPr>
        <w:t xml:space="preserve">Compute </w:t>
      </w:r>
      <w:r w:rsidRPr="001A0DA4">
        <w:rPr>
          <w:lang w:val="en-US"/>
        </w:rPr>
        <w:t xml:space="preserve">the 2-year cumulative probability of default, assuming that the annual hazard rate for </w:t>
      </w:r>
      <w:r>
        <w:rPr>
          <w:lang w:val="en-US"/>
        </w:rPr>
        <w:t xml:space="preserve">a company is 1% in the first year and increases </w:t>
      </w:r>
      <w:r w:rsidRPr="001A0DA4">
        <w:rPr>
          <w:lang w:val="en-US"/>
        </w:rPr>
        <w:t xml:space="preserve">to </w:t>
      </w:r>
      <w:r>
        <w:rPr>
          <w:lang w:val="en-US"/>
        </w:rPr>
        <w:t>3</w:t>
      </w:r>
      <w:r w:rsidRPr="001A0DA4">
        <w:rPr>
          <w:lang w:val="en-US"/>
        </w:rPr>
        <w:t xml:space="preserve">% </w:t>
      </w:r>
      <w:r>
        <w:rPr>
          <w:lang w:val="en-US"/>
        </w:rPr>
        <w:t xml:space="preserve">or 6% </w:t>
      </w:r>
      <w:r w:rsidRPr="001A0DA4">
        <w:rPr>
          <w:lang w:val="en-US"/>
        </w:rPr>
        <w:t>in the second year</w:t>
      </w:r>
      <w:r>
        <w:rPr>
          <w:lang w:val="en-US"/>
        </w:rPr>
        <w:t xml:space="preserve">, under two different scenarios, </w:t>
      </w:r>
      <w:r w:rsidRPr="001A0DA4">
        <w:rPr>
          <w:lang w:val="en-US"/>
        </w:rPr>
        <w:t xml:space="preserve">being 0,6 the probability of the </w:t>
      </w:r>
      <w:r>
        <w:rPr>
          <w:lang w:val="en-US"/>
        </w:rPr>
        <w:t xml:space="preserve">former </w:t>
      </w:r>
      <w:r w:rsidRPr="001A0DA4">
        <w:rPr>
          <w:lang w:val="en-US"/>
        </w:rPr>
        <w:t>scenario. (</w:t>
      </w:r>
      <w:r>
        <w:rPr>
          <w:lang w:val="en-US"/>
        </w:rPr>
        <w:t>2</w:t>
      </w:r>
      <w:r w:rsidRPr="001A0DA4">
        <w:rPr>
          <w:lang w:val="en-US"/>
        </w:rPr>
        <w:t>,</w:t>
      </w:r>
      <w:r w:rsidR="002C6C43">
        <w:rPr>
          <w:lang w:val="en-US"/>
        </w:rPr>
        <w:t>5</w:t>
      </w:r>
      <w:r w:rsidRPr="001A0DA4">
        <w:rPr>
          <w:lang w:val="en-US"/>
        </w:rPr>
        <w:t>)</w:t>
      </w:r>
    </w:p>
    <w:p w14:paraId="22EE7B9B" w14:textId="77777777" w:rsidR="00BD0471" w:rsidRDefault="00BD0471" w:rsidP="008549B5">
      <w:pPr>
        <w:spacing w:after="0" w:line="240" w:lineRule="exact"/>
        <w:ind w:left="709" w:right="-136" w:hanging="425"/>
        <w:jc w:val="both"/>
        <w:rPr>
          <w:lang w:val="en-US"/>
        </w:rPr>
      </w:pPr>
    </w:p>
    <w:p w14:paraId="22016353" w14:textId="77777777" w:rsidR="00424133" w:rsidRPr="00A038A5" w:rsidRDefault="00424133" w:rsidP="00424133">
      <w:pPr>
        <w:pStyle w:val="ListParagraph"/>
        <w:numPr>
          <w:ilvl w:val="0"/>
          <w:numId w:val="13"/>
        </w:numPr>
        <w:spacing w:after="120" w:line="240" w:lineRule="exact"/>
        <w:ind w:right="-136"/>
        <w:jc w:val="both"/>
        <w:rPr>
          <w:lang w:val="en"/>
        </w:rPr>
      </w:pPr>
      <w:r w:rsidRPr="00A038A5">
        <w:rPr>
          <w:lang w:val="en"/>
        </w:rPr>
        <w:t>see spreadsheet</w:t>
      </w:r>
    </w:p>
    <w:p w14:paraId="653600C5" w14:textId="77777777" w:rsidR="008549B5" w:rsidRDefault="008549B5" w:rsidP="008549B5">
      <w:pPr>
        <w:spacing w:after="0" w:line="240" w:lineRule="exact"/>
        <w:ind w:left="709" w:right="-136" w:hanging="425"/>
        <w:jc w:val="both"/>
        <w:rPr>
          <w:lang w:val="en-US"/>
        </w:rPr>
      </w:pPr>
    </w:p>
    <w:p w14:paraId="629A4D10" w14:textId="65617143" w:rsidR="001A0DA4" w:rsidRDefault="001A0DA4" w:rsidP="008549B5">
      <w:pPr>
        <w:spacing w:before="120" w:after="120" w:line="240" w:lineRule="exact"/>
        <w:ind w:left="709" w:right="-136" w:hanging="425"/>
        <w:jc w:val="both"/>
        <w:rPr>
          <w:lang w:val="en"/>
        </w:rPr>
      </w:pPr>
      <w:r w:rsidRPr="001A0DA4">
        <w:rPr>
          <w:lang w:val="en-US"/>
        </w:rPr>
        <w:t>2.</w:t>
      </w:r>
      <w:r w:rsidRPr="001A0DA4">
        <w:rPr>
          <w:lang w:val="en-US"/>
        </w:rPr>
        <w:tab/>
        <w:t>A</w:t>
      </w:r>
      <w:r w:rsidRPr="001A0DA4">
        <w:rPr>
          <w:rFonts w:cstheme="minorHAnsi"/>
          <w:lang w:val="en-US"/>
        </w:rPr>
        <w:t>ssuming that the 3</w:t>
      </w:r>
      <w:r w:rsidR="008549B5">
        <w:rPr>
          <w:rFonts w:cstheme="minorHAnsi"/>
          <w:lang w:val="en-US"/>
        </w:rPr>
        <w:t xml:space="preserve">- </w:t>
      </w:r>
      <w:r w:rsidRPr="001A0DA4">
        <w:rPr>
          <w:rFonts w:cstheme="minorHAnsi"/>
          <w:lang w:val="en-US"/>
        </w:rPr>
        <w:t>and the 6-month spot rates are 3,4% and 3,5%, respectively, while the forward rate for a 6-month maturity and a time to settlement of 3 months is 3,75%:</w:t>
      </w:r>
    </w:p>
    <w:p w14:paraId="0F559934" w14:textId="77777777" w:rsidR="001A0DA4" w:rsidRDefault="001A0DA4" w:rsidP="008549B5">
      <w:pPr>
        <w:spacing w:after="120" w:line="240" w:lineRule="exact"/>
        <w:ind w:left="709" w:right="-136" w:hanging="425"/>
        <w:jc w:val="both"/>
        <w:rPr>
          <w:rFonts w:cstheme="minorHAnsi"/>
          <w:lang w:val="en-US"/>
        </w:rPr>
      </w:pPr>
      <w:r>
        <w:rPr>
          <w:lang w:val="en"/>
        </w:rPr>
        <w:t>2.1.</w:t>
      </w:r>
      <w:r>
        <w:rPr>
          <w:lang w:val="en"/>
        </w:rPr>
        <w:tab/>
      </w:r>
      <w:r w:rsidRPr="001A0DA4">
        <w:rPr>
          <w:rFonts w:cstheme="minorHAnsi"/>
          <w:lang w:val="en-US"/>
        </w:rPr>
        <w:t>Compute the 9-month spot rate (2,0/20)</w:t>
      </w:r>
    </w:p>
    <w:p w14:paraId="70B7351F" w14:textId="3DC181AB" w:rsidR="00424133" w:rsidRPr="00424133" w:rsidRDefault="00424133" w:rsidP="00424133">
      <w:pPr>
        <w:pStyle w:val="ListParagraph"/>
        <w:numPr>
          <w:ilvl w:val="0"/>
          <w:numId w:val="13"/>
        </w:numPr>
        <w:spacing w:after="120"/>
        <w:jc w:val="both"/>
        <w:rPr>
          <w:rFonts w:cstheme="minorHAnsi"/>
          <w:sz w:val="24"/>
          <w:szCs w:val="24"/>
          <w:lang w:val="en-US"/>
        </w:rPr>
      </w:pPr>
      <w:r w:rsidRPr="00424133">
        <w:rPr>
          <w:rFonts w:cstheme="minorHAnsi"/>
          <w:sz w:val="24"/>
          <w:szCs w:val="24"/>
          <w:lang w:val="en-US"/>
        </w:rPr>
        <w:t>see spreadsheet</w:t>
      </w:r>
    </w:p>
    <w:p w14:paraId="52A3CB33" w14:textId="77777777" w:rsidR="00424133" w:rsidRDefault="00424133" w:rsidP="008549B5">
      <w:pPr>
        <w:spacing w:after="120" w:line="240" w:lineRule="exact"/>
        <w:ind w:left="709" w:right="-136" w:hanging="425"/>
        <w:jc w:val="both"/>
        <w:rPr>
          <w:rFonts w:cstheme="minorHAnsi"/>
          <w:lang w:val="en-US"/>
        </w:rPr>
      </w:pPr>
    </w:p>
    <w:p w14:paraId="01EB6234" w14:textId="77777777" w:rsidR="001A0DA4" w:rsidRDefault="001A0DA4" w:rsidP="008549B5">
      <w:pPr>
        <w:spacing w:after="120" w:line="240" w:lineRule="exact"/>
        <w:ind w:left="709" w:right="-136" w:hanging="425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lastRenderedPageBreak/>
        <w:t>2</w:t>
      </w:r>
      <w:r w:rsidRPr="001A0DA4">
        <w:rPr>
          <w:rFonts w:cstheme="minorHAnsi"/>
          <w:lang w:val="en-US"/>
        </w:rPr>
        <w:t>.2.</w:t>
      </w:r>
      <w:r w:rsidRPr="001A0DA4">
        <w:rPr>
          <w:rFonts w:cstheme="minorHAnsi"/>
          <w:lang w:val="en-US"/>
        </w:rPr>
        <w:tab/>
        <w:t xml:space="preserve">Compute the 1-year spot rate, for a 1-year bond at par, paying quarterly coupons and being its annualized coupon rate equal to </w:t>
      </w:r>
      <w:r>
        <w:rPr>
          <w:rFonts w:cstheme="minorHAnsi"/>
          <w:lang w:val="en-US"/>
        </w:rPr>
        <w:t>3</w:t>
      </w:r>
      <w:r w:rsidRPr="001A0DA4">
        <w:rPr>
          <w:rFonts w:cstheme="minorHAnsi"/>
          <w:lang w:val="en-US"/>
        </w:rPr>
        <w:t>%, considering also the result obtained in the previous question. (2,0/20)</w:t>
      </w:r>
    </w:p>
    <w:p w14:paraId="6155D409" w14:textId="51D93EAA" w:rsidR="00424133" w:rsidRDefault="00424133" w:rsidP="00424133">
      <w:pPr>
        <w:spacing w:after="120"/>
        <w:ind w:left="426" w:hanging="142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  <w:t>see spreadsheet</w:t>
      </w:r>
    </w:p>
    <w:p w14:paraId="0C6D8A0D" w14:textId="77777777" w:rsidR="00424133" w:rsidRDefault="00424133" w:rsidP="008549B5">
      <w:pPr>
        <w:spacing w:after="120" w:line="240" w:lineRule="exact"/>
        <w:ind w:left="709" w:right="-136" w:hanging="425"/>
        <w:jc w:val="both"/>
        <w:rPr>
          <w:rFonts w:cstheme="minorHAnsi"/>
          <w:lang w:val="en-US"/>
        </w:rPr>
      </w:pPr>
    </w:p>
    <w:p w14:paraId="1F9D3AED" w14:textId="1CD3DA04" w:rsidR="002C6C43" w:rsidRDefault="001A0DA4" w:rsidP="008549B5">
      <w:pPr>
        <w:spacing w:after="120" w:line="240" w:lineRule="exact"/>
        <w:ind w:left="709" w:right="-136" w:hanging="425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2</w:t>
      </w:r>
      <w:r w:rsidRPr="001A0DA4">
        <w:rPr>
          <w:rFonts w:cstheme="minorHAnsi"/>
          <w:lang w:val="en-US"/>
        </w:rPr>
        <w:t>.3.</w:t>
      </w:r>
      <w:r w:rsidRPr="001A0DA4">
        <w:rPr>
          <w:rFonts w:cstheme="minorHAnsi"/>
          <w:lang w:val="en-US"/>
        </w:rPr>
        <w:tab/>
        <w:t>Quantify the impact on the price of the bond mentioned in the previous question of an increase in the 1-year interest rate by 1 percentage point, explaining the measure used, both with discretely and continuously compounding interest rates and also how would that impact change with a coupon rate equal to 5%, as well as for a zero-coupon bond. (</w:t>
      </w:r>
      <w:r w:rsidR="002C6C43">
        <w:rPr>
          <w:rFonts w:cstheme="minorHAnsi"/>
          <w:lang w:val="en-US"/>
        </w:rPr>
        <w:t>3</w:t>
      </w:r>
      <w:r w:rsidRPr="001A0DA4">
        <w:rPr>
          <w:rFonts w:cstheme="minorHAnsi"/>
          <w:lang w:val="en-US"/>
        </w:rPr>
        <w:t>,0/20)</w:t>
      </w:r>
    </w:p>
    <w:p w14:paraId="107A571A" w14:textId="77777777" w:rsidR="00424133" w:rsidRDefault="00424133" w:rsidP="008549B5">
      <w:pPr>
        <w:spacing w:after="120" w:line="240" w:lineRule="exact"/>
        <w:ind w:left="709" w:right="-136" w:hanging="425"/>
        <w:jc w:val="both"/>
        <w:rPr>
          <w:rFonts w:cstheme="minorHAnsi"/>
          <w:lang w:val="en-US"/>
        </w:rPr>
      </w:pPr>
    </w:p>
    <w:p w14:paraId="15F861A7" w14:textId="77777777" w:rsidR="00424133" w:rsidRDefault="00424133" w:rsidP="00424133">
      <w:pPr>
        <w:spacing w:after="120"/>
        <w:ind w:left="426" w:hanging="426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- </w:t>
      </w:r>
      <w:r>
        <w:rPr>
          <w:rFonts w:cstheme="minorHAnsi"/>
          <w:sz w:val="24"/>
          <w:szCs w:val="24"/>
          <w:lang w:val="en-US"/>
        </w:rPr>
        <w:tab/>
        <w:t>bond at par =&gt; yield = coupon rate</w:t>
      </w:r>
    </w:p>
    <w:p w14:paraId="74C6F63E" w14:textId="77777777" w:rsidR="00424133" w:rsidRDefault="00424133" w:rsidP="00424133">
      <w:pPr>
        <w:spacing w:after="120"/>
        <w:ind w:left="426" w:hanging="426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- </w:t>
      </w:r>
      <w:r>
        <w:rPr>
          <w:rFonts w:cstheme="minorHAnsi"/>
          <w:sz w:val="24"/>
          <w:szCs w:val="24"/>
          <w:lang w:val="en-US"/>
        </w:rPr>
        <w:tab/>
        <w:t>with a higher coupon rate, the weight of the coupons increase =&gt; duration is lower.</w:t>
      </w:r>
    </w:p>
    <w:p w14:paraId="76DDEB50" w14:textId="10964E03" w:rsidR="00424133" w:rsidRDefault="00424133" w:rsidP="00424133">
      <w:pPr>
        <w:spacing w:after="120"/>
        <w:ind w:left="426" w:hanging="426"/>
        <w:jc w:val="both"/>
        <w:rPr>
          <w:rFonts w:cstheme="minorHAnsi"/>
          <w:sz w:val="24"/>
          <w:szCs w:val="24"/>
          <w:lang w:val="en-US"/>
        </w:rPr>
      </w:pPr>
      <w:bookmarkStart w:id="0" w:name="_Hlk187828571"/>
      <w:r>
        <w:rPr>
          <w:rFonts w:cstheme="minorHAnsi"/>
          <w:sz w:val="24"/>
          <w:szCs w:val="24"/>
          <w:lang w:val="en-US"/>
        </w:rPr>
        <w:t>-</w:t>
      </w:r>
      <w:r>
        <w:rPr>
          <w:rFonts w:cstheme="minorHAnsi"/>
          <w:sz w:val="24"/>
          <w:szCs w:val="24"/>
          <w:lang w:val="en-US"/>
        </w:rPr>
        <w:tab/>
        <w:t>for a zero-coupon bond, duration = residual maturity</w:t>
      </w:r>
    </w:p>
    <w:bookmarkEnd w:id="0"/>
    <w:p w14:paraId="0FE199AB" w14:textId="77777777" w:rsidR="00424133" w:rsidRDefault="00424133" w:rsidP="00424133">
      <w:pPr>
        <w:spacing w:after="120"/>
        <w:ind w:left="426" w:hanging="426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>
        <w:rPr>
          <w:rFonts w:cstheme="minorHAnsi"/>
          <w:sz w:val="24"/>
          <w:szCs w:val="24"/>
          <w:lang w:val="en-US"/>
        </w:rPr>
        <w:tab/>
        <w:t>see spreadsheet</w:t>
      </w:r>
    </w:p>
    <w:p w14:paraId="14161F21" w14:textId="77777777" w:rsidR="00424133" w:rsidRDefault="00424133" w:rsidP="008549B5">
      <w:pPr>
        <w:spacing w:after="120" w:line="240" w:lineRule="exact"/>
        <w:ind w:left="709" w:right="-136" w:hanging="425"/>
        <w:jc w:val="both"/>
        <w:rPr>
          <w:rFonts w:cstheme="minorHAnsi"/>
          <w:lang w:val="en-US"/>
        </w:rPr>
      </w:pPr>
    </w:p>
    <w:p w14:paraId="6C2FA644" w14:textId="04190719" w:rsidR="002C6C43" w:rsidRDefault="002C6C43" w:rsidP="008549B5">
      <w:pPr>
        <w:spacing w:after="120" w:line="240" w:lineRule="exact"/>
        <w:ind w:left="709" w:right="-136" w:hanging="425"/>
        <w:jc w:val="both"/>
        <w:rPr>
          <w:lang w:val="en"/>
        </w:rPr>
      </w:pPr>
      <w:r w:rsidRPr="002C6C43">
        <w:rPr>
          <w:rFonts w:cstheme="minorHAnsi"/>
          <w:lang w:val="en-US"/>
        </w:rPr>
        <w:t>2.4.</w:t>
      </w:r>
      <w:r w:rsidRPr="002C6C43">
        <w:rPr>
          <w:rFonts w:cstheme="minorHAnsi"/>
          <w:lang w:val="en-US"/>
        </w:rPr>
        <w:tab/>
      </w:r>
      <w:r w:rsidRPr="002C6C43">
        <w:rPr>
          <w:lang w:val="en"/>
        </w:rPr>
        <w:t>Assuming that</w:t>
      </w:r>
      <w:r>
        <w:rPr>
          <w:lang w:val="en"/>
        </w:rPr>
        <w:t xml:space="preserve"> </w:t>
      </w:r>
      <w:r w:rsidRPr="002C6C43">
        <w:rPr>
          <w:lang w:val="en"/>
        </w:rPr>
        <w:t>most shifts in this yield curve are parallel or just involve changes in the slope</w:t>
      </w:r>
      <w:r>
        <w:rPr>
          <w:lang w:val="en"/>
        </w:rPr>
        <w:t xml:space="preserve">, while </w:t>
      </w:r>
      <w:r w:rsidRPr="002C6C43">
        <w:rPr>
          <w:lang w:val="en"/>
        </w:rPr>
        <w:t>the volatility of interest rates is constant</w:t>
      </w:r>
      <w:r>
        <w:rPr>
          <w:lang w:val="en"/>
        </w:rPr>
        <w:t xml:space="preserve">, </w:t>
      </w:r>
      <w:r w:rsidRPr="002C6C43">
        <w:rPr>
          <w:lang w:val="en"/>
        </w:rPr>
        <w:t>present an adequate affine model to characterize the behavior and the shape of the curve along time, by specifying the main equations (e.g. the spot, the one-period forward, the volatility and the term premium curves). (</w:t>
      </w:r>
      <w:r>
        <w:rPr>
          <w:lang w:val="en"/>
        </w:rPr>
        <w:t>3,0</w:t>
      </w:r>
      <w:r w:rsidRPr="002C6C43">
        <w:rPr>
          <w:lang w:val="en"/>
        </w:rPr>
        <w:t>/20)</w:t>
      </w:r>
    </w:p>
    <w:p w14:paraId="215871DC" w14:textId="77777777" w:rsidR="00743786" w:rsidRDefault="00743786" w:rsidP="008549B5">
      <w:pPr>
        <w:spacing w:after="120" w:line="240" w:lineRule="exact"/>
        <w:ind w:left="709" w:right="-136" w:hanging="425"/>
        <w:jc w:val="both"/>
        <w:rPr>
          <w:lang w:val="en"/>
        </w:rPr>
      </w:pPr>
    </w:p>
    <w:p w14:paraId="0F767EBE" w14:textId="4997151F" w:rsidR="00743786" w:rsidRDefault="00743786" w:rsidP="00743786">
      <w:pPr>
        <w:pStyle w:val="ListParagraph"/>
        <w:numPr>
          <w:ilvl w:val="0"/>
          <w:numId w:val="13"/>
        </w:numPr>
        <w:spacing w:after="120" w:line="240" w:lineRule="exact"/>
        <w:ind w:right="-136"/>
        <w:jc w:val="both"/>
        <w:rPr>
          <w:lang w:val="en"/>
        </w:rPr>
      </w:pPr>
      <w:r>
        <w:rPr>
          <w:lang w:val="en"/>
        </w:rPr>
        <w:t>Vasicek model with 2 factors</w:t>
      </w:r>
      <w:r w:rsidR="00972393">
        <w:rPr>
          <w:lang w:val="en"/>
        </w:rPr>
        <w:t>:</w:t>
      </w:r>
    </w:p>
    <w:p w14:paraId="18091C7E" w14:textId="77777777" w:rsidR="009E1F66" w:rsidRDefault="009E1F66" w:rsidP="009E1F66">
      <w:pPr>
        <w:spacing w:after="120" w:line="240" w:lineRule="exact"/>
        <w:ind w:left="360" w:right="-136"/>
        <w:jc w:val="both"/>
        <w:rPr>
          <w:lang w:val="en"/>
        </w:rPr>
      </w:pPr>
    </w:p>
    <w:p w14:paraId="0B664A00" w14:textId="23E387C1" w:rsidR="009E1F66" w:rsidRDefault="009E1F66" w:rsidP="009E1F66">
      <w:pPr>
        <w:spacing w:after="120" w:line="240" w:lineRule="exact"/>
        <w:ind w:left="360" w:right="-136"/>
        <w:jc w:val="both"/>
        <w:rPr>
          <w:lang w:val="en"/>
        </w:rPr>
      </w:pPr>
      <w:r>
        <w:rPr>
          <w:lang w:val="en"/>
        </w:rPr>
        <w:t>Bond prices:</w:t>
      </w:r>
    </w:p>
    <w:p w14:paraId="084053A0" w14:textId="73798CA8" w:rsidR="009E1F66" w:rsidRDefault="009E1F66" w:rsidP="009E1F66">
      <w:pPr>
        <w:spacing w:after="120" w:line="240" w:lineRule="exact"/>
        <w:ind w:left="360" w:right="-136"/>
        <w:jc w:val="both"/>
        <w:rPr>
          <w:lang w:val="en"/>
        </w:rPr>
      </w:pPr>
      <w:r w:rsidRPr="009E1F66">
        <w:drawing>
          <wp:inline distT="0" distB="0" distL="0" distR="0" wp14:anchorId="1915EC9D" wp14:editId="22BEB108">
            <wp:extent cx="845905" cy="149370"/>
            <wp:effectExtent l="0" t="0" r="0" b="3175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94911" cy="158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10617A" w14:textId="6C89A5F0" w:rsidR="009E1F66" w:rsidRDefault="009E1F66" w:rsidP="009E1F66">
      <w:pPr>
        <w:spacing w:after="120" w:line="240" w:lineRule="exact"/>
        <w:ind w:left="360" w:right="-136"/>
        <w:jc w:val="both"/>
        <w:rPr>
          <w:lang w:val="en"/>
        </w:rPr>
      </w:pPr>
      <w:r>
        <w:rPr>
          <w:lang w:val="en"/>
        </w:rPr>
        <w:t>Yield curve:</w:t>
      </w:r>
    </w:p>
    <w:p w14:paraId="2E7C63CE" w14:textId="0CE4155E" w:rsidR="009E1F66" w:rsidRDefault="009E1F66" w:rsidP="009E1F66">
      <w:pPr>
        <w:spacing w:after="120" w:line="240" w:lineRule="exact"/>
        <w:ind w:left="360" w:right="-136"/>
        <w:jc w:val="both"/>
        <w:rPr>
          <w:lang w:val="en"/>
        </w:rPr>
      </w:pPr>
      <w:r w:rsidRPr="009E1F66">
        <w:drawing>
          <wp:inline distT="0" distB="0" distL="0" distR="0" wp14:anchorId="251481DB" wp14:editId="1B2777F3">
            <wp:extent cx="732890" cy="154930"/>
            <wp:effectExtent l="0" t="0" r="0" b="0"/>
            <wp:docPr id="194211513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76188" cy="164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19DF0" w14:textId="249A481D" w:rsidR="009E1F66" w:rsidRDefault="009E1F66" w:rsidP="009E1F66">
      <w:pPr>
        <w:spacing w:after="120" w:line="240" w:lineRule="exact"/>
        <w:ind w:left="360" w:right="-136"/>
        <w:jc w:val="both"/>
        <w:rPr>
          <w:lang w:val="en"/>
        </w:rPr>
      </w:pPr>
      <w:r>
        <w:rPr>
          <w:lang w:val="en"/>
        </w:rPr>
        <w:t>Factor loadings:</w:t>
      </w:r>
    </w:p>
    <w:p w14:paraId="551D3F94" w14:textId="33C9BDF5" w:rsidR="009E1F66" w:rsidRDefault="009E1F66" w:rsidP="009E1F66">
      <w:pPr>
        <w:spacing w:after="120" w:line="240" w:lineRule="exact"/>
        <w:ind w:left="360" w:right="-136"/>
        <w:jc w:val="both"/>
        <w:rPr>
          <w:lang w:val="en"/>
        </w:rPr>
      </w:pPr>
      <w:r w:rsidRPr="009E1F66">
        <w:rPr>
          <w:sz w:val="32"/>
          <w:szCs w:val="32"/>
        </w:rPr>
        <w:drawing>
          <wp:inline distT="0" distB="0" distL="0" distR="0" wp14:anchorId="5D8937E5" wp14:editId="029777C6">
            <wp:extent cx="476391" cy="128090"/>
            <wp:effectExtent l="0" t="0" r="0" b="5715"/>
            <wp:docPr id="1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1226" cy="137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A1969C" w14:textId="77777777" w:rsidR="009E1F66" w:rsidRDefault="009E1F66" w:rsidP="009E1F66">
      <w:pPr>
        <w:spacing w:after="120" w:line="240" w:lineRule="exact"/>
        <w:ind w:left="360" w:right="-136"/>
        <w:jc w:val="both"/>
        <w:rPr>
          <w:lang w:val="en"/>
        </w:rPr>
      </w:pPr>
    </w:p>
    <w:p w14:paraId="23EC710A" w14:textId="77777777" w:rsidR="009E1F66" w:rsidRPr="009E1F66" w:rsidRDefault="009E1F66" w:rsidP="009E1F66">
      <w:pPr>
        <w:spacing w:after="120" w:line="240" w:lineRule="exact"/>
        <w:ind w:left="360" w:right="-136"/>
        <w:jc w:val="both"/>
        <w:rPr>
          <w:lang w:val="en"/>
        </w:rPr>
      </w:pPr>
    </w:p>
    <w:sectPr w:rsidR="009E1F66" w:rsidRPr="009E1F66">
      <w:footerReference w:type="even" r:id="rId12"/>
      <w:footerReference w:type="defaul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16D66" w14:textId="77777777" w:rsidR="0067295E" w:rsidRDefault="0067295E" w:rsidP="0097491F">
      <w:pPr>
        <w:spacing w:after="0" w:line="240" w:lineRule="auto"/>
      </w:pPr>
      <w:r>
        <w:separator/>
      </w:r>
    </w:p>
  </w:endnote>
  <w:endnote w:type="continuationSeparator" w:id="0">
    <w:p w14:paraId="6FCA9BA2" w14:textId="77777777" w:rsidR="0067295E" w:rsidRDefault="0067295E" w:rsidP="00974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7845F" w14:textId="4D442CDA" w:rsidR="0097491F" w:rsidRDefault="009749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86AA0" w14:textId="2B2F3655" w:rsidR="0097491F" w:rsidRDefault="009749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B88DC" w14:textId="4C210E52" w:rsidR="0097491F" w:rsidRDefault="009749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C9E61" w14:textId="77777777" w:rsidR="0067295E" w:rsidRDefault="0067295E" w:rsidP="0097491F">
      <w:pPr>
        <w:spacing w:after="0" w:line="240" w:lineRule="auto"/>
      </w:pPr>
      <w:r>
        <w:separator/>
      </w:r>
    </w:p>
  </w:footnote>
  <w:footnote w:type="continuationSeparator" w:id="0">
    <w:p w14:paraId="26D8D1BF" w14:textId="77777777" w:rsidR="0067295E" w:rsidRDefault="0067295E" w:rsidP="009749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C4CE0"/>
    <w:multiLevelType w:val="hybridMultilevel"/>
    <w:tmpl w:val="BAB41018"/>
    <w:lvl w:ilvl="0" w:tplc="D33637D2">
      <w:start w:val="1"/>
      <w:numFmt w:val="bullet"/>
      <w:lvlText w:val=""/>
      <w:lvlJc w:val="left"/>
      <w:pPr>
        <w:ind w:left="107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" w15:restartNumberingAfterBreak="0">
    <w:nsid w:val="0BA14ACE"/>
    <w:multiLevelType w:val="multilevel"/>
    <w:tmpl w:val="301C1A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7F4C4C"/>
    <w:multiLevelType w:val="hybridMultilevel"/>
    <w:tmpl w:val="5A783464"/>
    <w:lvl w:ilvl="0" w:tplc="4538D22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lang w:val="e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372A3"/>
    <w:multiLevelType w:val="multilevel"/>
    <w:tmpl w:val="519A1B56"/>
    <w:lvl w:ilvl="0">
      <w:start w:val="1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 w15:restartNumberingAfterBreak="0">
    <w:nsid w:val="1E6C39FC"/>
    <w:multiLevelType w:val="multilevel"/>
    <w:tmpl w:val="795650FC"/>
    <w:lvl w:ilvl="0">
      <w:start w:val="1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1F148DC"/>
    <w:multiLevelType w:val="multilevel"/>
    <w:tmpl w:val="B28C2E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2AF52AC"/>
    <w:multiLevelType w:val="multilevel"/>
    <w:tmpl w:val="A4F4D7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46427AC"/>
    <w:multiLevelType w:val="hybridMultilevel"/>
    <w:tmpl w:val="504AC174"/>
    <w:lvl w:ilvl="0" w:tplc="33464C0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D8F7C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D4A09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C03A5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1C08C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10A01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E21CC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6A42C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94C4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364647"/>
    <w:multiLevelType w:val="hybridMultilevel"/>
    <w:tmpl w:val="251E3AA8"/>
    <w:lvl w:ilvl="0" w:tplc="3168D9C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33558E"/>
    <w:multiLevelType w:val="multilevel"/>
    <w:tmpl w:val="D58E6590"/>
    <w:lvl w:ilvl="0">
      <w:start w:val="2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</w:rPr>
    </w:lvl>
  </w:abstractNum>
  <w:abstractNum w:abstractNumId="10" w15:restartNumberingAfterBreak="0">
    <w:nsid w:val="597E12F5"/>
    <w:multiLevelType w:val="multilevel"/>
    <w:tmpl w:val="CDEEC492"/>
    <w:lvl w:ilvl="0">
      <w:start w:val="1"/>
      <w:numFmt w:val="decimal"/>
      <w:lvlText w:val="%1."/>
      <w:lvlJc w:val="left"/>
      <w:pPr>
        <w:ind w:left="790" w:hanging="43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AF6012D"/>
    <w:multiLevelType w:val="hybridMultilevel"/>
    <w:tmpl w:val="10D07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705BA0"/>
    <w:multiLevelType w:val="hybridMultilevel"/>
    <w:tmpl w:val="BD8AD380"/>
    <w:lvl w:ilvl="0" w:tplc="868661F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FCCB7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783E0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C2A7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5C0CD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F61E3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AC7E8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D2C5B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66F9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9003689">
    <w:abstractNumId w:val="2"/>
  </w:num>
  <w:num w:numId="2" w16cid:durableId="321589139">
    <w:abstractNumId w:val="4"/>
  </w:num>
  <w:num w:numId="3" w16cid:durableId="1505439809">
    <w:abstractNumId w:val="9"/>
  </w:num>
  <w:num w:numId="4" w16cid:durableId="1132284733">
    <w:abstractNumId w:val="7"/>
  </w:num>
  <w:num w:numId="5" w16cid:durableId="932394489">
    <w:abstractNumId w:val="12"/>
  </w:num>
  <w:num w:numId="6" w16cid:durableId="466701832">
    <w:abstractNumId w:val="1"/>
  </w:num>
  <w:num w:numId="7" w16cid:durableId="1180849150">
    <w:abstractNumId w:val="11"/>
  </w:num>
  <w:num w:numId="8" w16cid:durableId="2081438841">
    <w:abstractNumId w:val="6"/>
  </w:num>
  <w:num w:numId="9" w16cid:durableId="1750619818">
    <w:abstractNumId w:val="10"/>
  </w:num>
  <w:num w:numId="10" w16cid:durableId="179053453">
    <w:abstractNumId w:val="5"/>
  </w:num>
  <w:num w:numId="11" w16cid:durableId="54357139">
    <w:abstractNumId w:val="3"/>
  </w:num>
  <w:num w:numId="12" w16cid:durableId="613682429">
    <w:abstractNumId w:val="0"/>
  </w:num>
  <w:num w:numId="13" w16cid:durableId="2211356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4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91F"/>
    <w:rsid w:val="00086967"/>
    <w:rsid w:val="000B7C1E"/>
    <w:rsid w:val="0011498B"/>
    <w:rsid w:val="00180E83"/>
    <w:rsid w:val="001A0DA4"/>
    <w:rsid w:val="001E0738"/>
    <w:rsid w:val="00205A57"/>
    <w:rsid w:val="00211418"/>
    <w:rsid w:val="002772C7"/>
    <w:rsid w:val="002C6C43"/>
    <w:rsid w:val="002E162B"/>
    <w:rsid w:val="003245A5"/>
    <w:rsid w:val="003B01E8"/>
    <w:rsid w:val="003C4223"/>
    <w:rsid w:val="003F24E8"/>
    <w:rsid w:val="00424133"/>
    <w:rsid w:val="00475F18"/>
    <w:rsid w:val="00494C7D"/>
    <w:rsid w:val="005E54F8"/>
    <w:rsid w:val="00623140"/>
    <w:rsid w:val="00655F83"/>
    <w:rsid w:val="006722E9"/>
    <w:rsid w:val="0067295E"/>
    <w:rsid w:val="00680B71"/>
    <w:rsid w:val="00725345"/>
    <w:rsid w:val="00743786"/>
    <w:rsid w:val="0084177D"/>
    <w:rsid w:val="008420DE"/>
    <w:rsid w:val="008549B5"/>
    <w:rsid w:val="008A6864"/>
    <w:rsid w:val="008D208E"/>
    <w:rsid w:val="00972393"/>
    <w:rsid w:val="0097491F"/>
    <w:rsid w:val="00982EE9"/>
    <w:rsid w:val="0098794B"/>
    <w:rsid w:val="009A29FF"/>
    <w:rsid w:val="009C10B8"/>
    <w:rsid w:val="009D2A70"/>
    <w:rsid w:val="009E1F66"/>
    <w:rsid w:val="00A038A5"/>
    <w:rsid w:val="00AD7D40"/>
    <w:rsid w:val="00B046AC"/>
    <w:rsid w:val="00B136C5"/>
    <w:rsid w:val="00B33BEF"/>
    <w:rsid w:val="00BA21D8"/>
    <w:rsid w:val="00BD0471"/>
    <w:rsid w:val="00C21E10"/>
    <w:rsid w:val="00C34154"/>
    <w:rsid w:val="00D6593E"/>
    <w:rsid w:val="00D75803"/>
    <w:rsid w:val="00E22527"/>
    <w:rsid w:val="00F7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0D862"/>
  <w15:chartTrackingRefBased/>
  <w15:docId w15:val="{812C6435-E3CA-48AB-A199-E7070A9E5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91F"/>
    <w:rPr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749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97491F"/>
    <w:pPr>
      <w:ind w:left="720"/>
      <w:contextualSpacing/>
    </w:pPr>
  </w:style>
  <w:style w:type="table" w:styleId="TableGrid">
    <w:name w:val="Table Grid"/>
    <w:basedOn w:val="TableNormal"/>
    <w:uiPriority w:val="59"/>
    <w:rsid w:val="0097491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749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91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1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822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Barros Luís</dc:creator>
  <cp:keywords/>
  <dc:description/>
  <cp:lastModifiedBy>Jorge Barros Luís</cp:lastModifiedBy>
  <cp:revision>4</cp:revision>
  <dcterms:created xsi:type="dcterms:W3CDTF">2025-01-15T09:16:00Z</dcterms:created>
  <dcterms:modified xsi:type="dcterms:W3CDTF">2025-01-15T17:06:00Z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756dabd-1ab2-455c-ac5f-fbfcf45fdb51_Enabled">
    <vt:lpwstr>true</vt:lpwstr>
  </property>
  <property fmtid="{D5CDD505-2E9C-101B-9397-08002B2CF9AE}" pid="3" name="MSIP_Label_2756dabd-1ab2-455c-ac5f-fbfcf45fdb51_SetDate">
    <vt:lpwstr>2024-01-19T17:29:58Z</vt:lpwstr>
  </property>
  <property fmtid="{D5CDD505-2E9C-101B-9397-08002B2CF9AE}" pid="4" name="MSIP_Label_2756dabd-1ab2-455c-ac5f-fbfcf45fdb51_Method">
    <vt:lpwstr>Privileged</vt:lpwstr>
  </property>
  <property fmtid="{D5CDD505-2E9C-101B-9397-08002B2CF9AE}" pid="5" name="MSIP_Label_2756dabd-1ab2-455c-ac5f-fbfcf45fdb51_Name">
    <vt:lpwstr>2756dabd-1ab2-455c-ac5f-fbfcf45fdb51</vt:lpwstr>
  </property>
  <property fmtid="{D5CDD505-2E9C-101B-9397-08002B2CF9AE}" pid="6" name="MSIP_Label_2756dabd-1ab2-455c-ac5f-fbfcf45fdb51_SiteId">
    <vt:lpwstr>0f172980-1261-4323-ab7a-c89b472843d7</vt:lpwstr>
  </property>
  <property fmtid="{D5CDD505-2E9C-101B-9397-08002B2CF9AE}" pid="7" name="MSIP_Label_2756dabd-1ab2-455c-ac5f-fbfcf45fdb51_ActionId">
    <vt:lpwstr>199fb8ec-1fb3-45d0-b9e3-e1497c293a7f</vt:lpwstr>
  </property>
  <property fmtid="{D5CDD505-2E9C-101B-9397-08002B2CF9AE}" pid="8" name="MSIP_Label_2756dabd-1ab2-455c-ac5f-fbfcf45fdb51_ContentBits">
    <vt:lpwstr>0</vt:lpwstr>
  </property>
</Properties>
</file>